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A677" w14:textId="77777777" w:rsidR="00DE540A" w:rsidRPr="004B0E34" w:rsidRDefault="00DE540A" w:rsidP="00DE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0E34">
        <w:rPr>
          <w:rFonts w:ascii="Times New Roman" w:hAnsi="Times New Roman"/>
          <w:b/>
          <w:color w:val="000000"/>
          <w:sz w:val="24"/>
          <w:szCs w:val="24"/>
        </w:rPr>
        <w:t>CHECK-LIST</w:t>
      </w:r>
    </w:p>
    <w:p w14:paraId="29D2F74D" w14:textId="77777777" w:rsidR="00DE540A" w:rsidRPr="004B0E34" w:rsidRDefault="00DE540A" w:rsidP="00DE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0E34">
        <w:rPr>
          <w:rFonts w:ascii="Times New Roman" w:hAnsi="Times New Roman"/>
          <w:b/>
          <w:color w:val="000000"/>
          <w:sz w:val="24"/>
          <w:szCs w:val="24"/>
        </w:rPr>
        <w:t>DOAÇÃO DE IMÓVEIS – PARAÍSO DOS PÁSSAROS</w:t>
      </w:r>
    </w:p>
    <w:p w14:paraId="1D66172C" w14:textId="77777777" w:rsidR="00DE540A" w:rsidRPr="004B0E34" w:rsidRDefault="00DE540A" w:rsidP="00DE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093B06C" w14:textId="77777777" w:rsidR="00DE540A" w:rsidRPr="004B0E34" w:rsidRDefault="00DE540A" w:rsidP="00DE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"/>
        <w:gridCol w:w="3173"/>
        <w:gridCol w:w="1807"/>
        <w:gridCol w:w="1940"/>
        <w:gridCol w:w="561"/>
      </w:tblGrid>
      <w:tr w:rsidR="00DE540A" w:rsidRPr="004B0E34" w14:paraId="15973023" w14:textId="77777777" w:rsidTr="00B90BE5"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CE41D56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SETOR</w:t>
            </w:r>
          </w:p>
        </w:tc>
        <w:tc>
          <w:tcPr>
            <w:tcW w:w="1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6610F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ATOS E DOCUMENTOS PARA INSTRUIR O PROCESSO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636D1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OBSERVAÇÕES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1DCDF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SIM/NÃO/PARCIAL</w:t>
            </w:r>
          </w:p>
          <w:p w14:paraId="2D3334E6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PREJUDICADO</w:t>
            </w: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125E3" w14:textId="77777777" w:rsidR="00DE540A" w:rsidRPr="004B0E34" w:rsidRDefault="00DE540A" w:rsidP="00B90BE5">
            <w:pPr>
              <w:pStyle w:val="Contedodatabela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b/>
                <w:sz w:val="20"/>
                <w:szCs w:val="20"/>
              </w:rPr>
              <w:t>SEQ.</w:t>
            </w:r>
          </w:p>
        </w:tc>
      </w:tr>
      <w:tr w:rsidR="00DE540A" w:rsidRPr="004B0E34" w14:paraId="11D6E69D" w14:textId="77777777" w:rsidTr="00B90BE5">
        <w:tc>
          <w:tcPr>
            <w:tcW w:w="594" w:type="pct"/>
            <w:tcBorders>
              <w:left w:val="single" w:sz="1" w:space="0" w:color="000000"/>
              <w:bottom w:val="single" w:sz="1" w:space="0" w:color="000000"/>
            </w:tcBorders>
          </w:tcPr>
          <w:p w14:paraId="641E6ACE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Interessado</w:t>
            </w:r>
          </w:p>
        </w:tc>
        <w:tc>
          <w:tcPr>
            <w:tcW w:w="1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45499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Provocar a COSANPA/UESP apresentando a documentação mínimas a ser conferida pelo setor de patrimônio. </w:t>
            </w:r>
          </w:p>
        </w:tc>
        <w:tc>
          <w:tcPr>
            <w:tcW w:w="10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E63C6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675E0" w14:textId="63FF1D1F" w:rsidR="00DE540A" w:rsidRPr="004B0E34" w:rsidRDefault="00DE540A" w:rsidP="00B90B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84EF24" w14:textId="2611D3DC" w:rsidR="00DE540A" w:rsidRPr="004B0E34" w:rsidRDefault="00DE540A" w:rsidP="00B90B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0A" w:rsidRPr="004B0E34" w14:paraId="533EE0C9" w14:textId="77777777" w:rsidTr="00B90BE5">
        <w:tc>
          <w:tcPr>
            <w:tcW w:w="594" w:type="pct"/>
            <w:tcBorders>
              <w:left w:val="single" w:sz="1" w:space="0" w:color="000000"/>
              <w:bottom w:val="single" w:sz="1" w:space="0" w:color="000000"/>
            </w:tcBorders>
          </w:tcPr>
          <w:p w14:paraId="7C59C0CA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UESP</w:t>
            </w:r>
          </w:p>
          <w:p w14:paraId="1A460896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BC41812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DC1924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BD7989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C2F32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Conferir a documentação mínima apresentada pelo interessado, quais sejam:</w:t>
            </w:r>
          </w:p>
          <w:p w14:paraId="54DB745E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Identificação do(s) Requerente(s): </w:t>
            </w:r>
          </w:p>
          <w:p w14:paraId="020C26E0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RG e CPF, ou outro documento de identificação oficial de aceitação obrigatória, como carteiras de órgãos de conselhos de classe e a Carteira de Trabalho e Previdência Social, desde que o documento tenha foto e assinatura do interessado.</w:t>
            </w:r>
          </w:p>
          <w:p w14:paraId="273C01FE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se casado(a), documentação pessoal do cônjuge e da certidão de casamento (atualizada), salvo se o regime de bens for o da separação, voluntária ou obrigatória (artigo 1687 do Código Civil);</w:t>
            </w:r>
          </w:p>
          <w:p w14:paraId="442543F8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se divorciado(a), certidão de casamento com averbação do divórcio;</w:t>
            </w:r>
          </w:p>
          <w:p w14:paraId="64AD51A4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se viúvo(a), certidão de casamento acompanhada da certidão de óbito; </w:t>
            </w:r>
          </w:p>
          <w:p w14:paraId="6821E488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se vive em união estável com um(a) companheiro(a) e deseje que o imóvel seja transferido para o casal, poderá ser firmada declaração de união estável entre os presentes, dispensada a autenticação de firma com a apresentação de documento de identificação pessoal que possa servir como comparação para a autenticidade da assinatura, na presença de um agente público, </w:t>
            </w:r>
            <w:r w:rsidRPr="004B0E34">
              <w:rPr>
                <w:rFonts w:ascii="Times New Roman" w:hAnsi="Times New Roman"/>
                <w:sz w:val="20"/>
                <w:szCs w:val="20"/>
              </w:rPr>
              <w:lastRenderedPageBreak/>
              <w:t>devendo, neste caso o agente lavrar a autenticidade no próprio documento.</w:t>
            </w:r>
          </w:p>
          <w:p w14:paraId="77491B15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bCs/>
                <w:sz w:val="20"/>
                <w:szCs w:val="20"/>
              </w:rPr>
              <w:t>Comprovação da origem da posse:</w:t>
            </w:r>
          </w:p>
          <w:p w14:paraId="4AA0E120" w14:textId="1DBA4195" w:rsidR="00DE540A" w:rsidRPr="004B0E34" w:rsidRDefault="00F067B3" w:rsidP="002F2866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Autorização</w:t>
            </w:r>
            <w:r w:rsidR="00DE540A" w:rsidRPr="004B0E34">
              <w:rPr>
                <w:rFonts w:ascii="Times New Roman" w:hAnsi="Times New Roman"/>
                <w:sz w:val="20"/>
                <w:szCs w:val="20"/>
              </w:rPr>
              <w:t xml:space="preserve"> de construção</w:t>
            </w:r>
            <w:r w:rsidR="002F2866" w:rsidRPr="004B0E34">
              <w:rPr>
                <w:rFonts w:ascii="Times New Roman" w:hAnsi="Times New Roman"/>
                <w:sz w:val="20"/>
                <w:szCs w:val="20"/>
              </w:rPr>
              <w:t xml:space="preserve"> ou declaração de </w:t>
            </w:r>
            <w:proofErr w:type="gramStart"/>
            <w:r w:rsidR="002F2866" w:rsidRPr="004B0E34">
              <w:rPr>
                <w:rFonts w:ascii="Times New Roman" w:hAnsi="Times New Roman"/>
                <w:sz w:val="20"/>
                <w:szCs w:val="20"/>
              </w:rPr>
              <w:t xml:space="preserve">remanejamento </w:t>
            </w:r>
            <w:r w:rsidR="00DE540A" w:rsidRPr="004B0E34">
              <w:rPr>
                <w:rFonts w:ascii="Times New Roman" w:hAnsi="Times New Roman"/>
                <w:sz w:val="20"/>
                <w:szCs w:val="20"/>
              </w:rPr>
              <w:t xml:space="preserve"> fornecida</w:t>
            </w:r>
            <w:proofErr w:type="gramEnd"/>
            <w:r w:rsidR="00DE540A" w:rsidRPr="004B0E34">
              <w:rPr>
                <w:rFonts w:ascii="Times New Roman" w:hAnsi="Times New Roman"/>
                <w:sz w:val="20"/>
                <w:szCs w:val="20"/>
              </w:rPr>
              <w:t xml:space="preserve"> para os remanejados no ano de 2000; ou em sua ausência, declaração firmada, por conta e risco do requerente, de que detém a posse sobre o lote, em que seja indicado o tempo aproximado da posse, conforme modelo a ser elaborado por essa Procuradoria, e assinado na presença de um agente público.</w:t>
            </w:r>
          </w:p>
          <w:p w14:paraId="18E96311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Se imóvel adquirido de remanejado e não houve regularização: documento de origem da aquisição, podendo ser o contrato de compra e venda, com a assinatura de alienante e adquirente reconhecidas em cartório; ou termo de doação, com a assinatura do </w:t>
            </w:r>
            <w:proofErr w:type="gramStart"/>
            <w:r w:rsidRPr="004B0E34">
              <w:rPr>
                <w:rFonts w:ascii="Times New Roman" w:hAnsi="Times New Roman"/>
                <w:sz w:val="20"/>
                <w:szCs w:val="20"/>
              </w:rPr>
              <w:t>doador e donatário reconhecidas</w:t>
            </w:r>
            <w:proofErr w:type="gramEnd"/>
            <w:r w:rsidRPr="004B0E34">
              <w:rPr>
                <w:rFonts w:ascii="Times New Roman" w:hAnsi="Times New Roman"/>
                <w:sz w:val="20"/>
                <w:szCs w:val="20"/>
              </w:rPr>
              <w:t xml:space="preserve"> em cartório; ou decisão judicial ou do termo de partilha bens em razão de divórcio ou herança, em que se comprove a aquisição do bem pelo interessado.</w:t>
            </w:r>
          </w:p>
          <w:p w14:paraId="4C8A3FDE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Comprovante de residência em nome próprio do requerente, podendo ser:</w:t>
            </w:r>
          </w:p>
          <w:p w14:paraId="6EC1066E" w14:textId="77777777" w:rsidR="00DE540A" w:rsidRPr="004B0E34" w:rsidRDefault="00DE540A" w:rsidP="00DE540A">
            <w:pPr>
              <w:pStyle w:val="PargrafodaLista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 xml:space="preserve"> Conta de água ou conta de energia elétrica ou conta de telefone ou correspondência, desde que em nome próprio do requerente e indiquem o mesmo endereço do lote objeto do pedido. </w:t>
            </w:r>
          </w:p>
          <w:p w14:paraId="7E20A18B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0E34">
              <w:rPr>
                <w:rFonts w:ascii="Times New Roman" w:hAnsi="Times New Roman"/>
                <w:sz w:val="20"/>
                <w:szCs w:val="20"/>
              </w:rPr>
              <w:t>Atuar</w:t>
            </w:r>
            <w:proofErr w:type="gramEnd"/>
            <w:r w:rsidRPr="004B0E34">
              <w:rPr>
                <w:rFonts w:ascii="Times New Roman" w:hAnsi="Times New Roman"/>
                <w:sz w:val="20"/>
                <w:szCs w:val="20"/>
              </w:rPr>
              <w:t xml:space="preserve"> o processo identificando o nome completo do(s) interessado(s) no campo correspondente.</w:t>
            </w:r>
          </w:p>
        </w:tc>
        <w:tc>
          <w:tcPr>
            <w:tcW w:w="10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24DCD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F9880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1A36FA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BCB71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897D9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64BF5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7CADAD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F9E1E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19754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72E5C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A45C8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3D2A3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48DE8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4DD30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66775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BD85C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807C8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F4CA3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BDFE8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9A730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Memorando Circular nº 02/2020-PJU</w:t>
            </w:r>
          </w:p>
          <w:p w14:paraId="624FC975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Parecer referencial nº 01/2020 -PJU</w:t>
            </w:r>
          </w:p>
        </w:tc>
        <w:tc>
          <w:tcPr>
            <w:tcW w:w="113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0726F" w14:textId="6CFF840A" w:rsidR="00DE540A" w:rsidRPr="004B0E34" w:rsidRDefault="00DE540A" w:rsidP="00B90B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2D981" w14:textId="382A898A" w:rsidR="00DE540A" w:rsidRPr="004B0E34" w:rsidRDefault="00DE540A" w:rsidP="00B90B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540A" w:rsidRPr="004B0E34" w14:paraId="2BB74102" w14:textId="77777777" w:rsidTr="00B90BE5"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425E54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>UESP</w:t>
            </w:r>
          </w:p>
        </w:tc>
        <w:tc>
          <w:tcPr>
            <w:tcW w:w="1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99827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Realizar</w:t>
            </w: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 xml:space="preserve"> a vistoria e emitir declaração de vistoria de confrontação, juntando-a aos autos.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EEFA1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Memorando Circular nº 02/2020-PJU</w:t>
            </w:r>
          </w:p>
          <w:p w14:paraId="10FBB6B4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 xml:space="preserve">Parecer referencial nº </w:t>
            </w:r>
            <w:r w:rsidRPr="004B0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01/2020 -PJU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CC83F" w14:textId="1878FEFF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ADCD9" w14:textId="1716C29E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DE540A" w:rsidRPr="004B0E34" w14:paraId="126A8EA4" w14:textId="77777777" w:rsidTr="00B90BE5"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45AAD7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>PJU</w:t>
            </w:r>
          </w:p>
        </w:tc>
        <w:tc>
          <w:tcPr>
            <w:tcW w:w="1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7CE06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hAnsi="Times New Roman"/>
                <w:sz w:val="20"/>
                <w:szCs w:val="20"/>
              </w:rPr>
              <w:t>Parecer</w:t>
            </w: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 xml:space="preserve"> Jurídico. Se favorável: autos seguem com Parecer e minuta do Termo de Doação (duas vias) em favor do interessado. Caso contrário: somente com o Parecer.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7A6CD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Memorando Circular nº 02/2020-PJU</w:t>
            </w:r>
          </w:p>
          <w:p w14:paraId="0476F299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Parecer referencial nº 01/2020 -PJU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58F2D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2A903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 w:bidi="ar-SA"/>
              </w:rPr>
            </w:pPr>
          </w:p>
        </w:tc>
      </w:tr>
      <w:tr w:rsidR="00DE540A" w:rsidRPr="004B0E34" w14:paraId="641E7011" w14:textId="77777777" w:rsidTr="00B90BE5">
        <w:tc>
          <w:tcPr>
            <w:tcW w:w="5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EEE60C" w14:textId="77777777" w:rsidR="00DE540A" w:rsidRPr="004B0E34" w:rsidRDefault="00DE540A" w:rsidP="00B90B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>UESP</w:t>
            </w:r>
          </w:p>
        </w:tc>
        <w:tc>
          <w:tcPr>
            <w:tcW w:w="1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C243E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>Se favorável o parecer: colher a assinatura dos Diretores e a do interessado no Termo de Doação, entregando uma via do documento para o interessado, mediante recibo, e a outra, para arquivo. Ambos, recibo e Termo de Doação assinados devem ser juntados aos autos.</w:t>
            </w:r>
          </w:p>
          <w:p w14:paraId="4B0715BF" w14:textId="77777777" w:rsidR="00DE540A" w:rsidRPr="004B0E34" w:rsidRDefault="00DE540A" w:rsidP="00DE540A">
            <w:pPr>
              <w:pStyle w:val="PargrafodaLista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0E34">
              <w:rPr>
                <w:rFonts w:ascii="Times New Roman" w:eastAsia="Times New Roman" w:hAnsi="Times New Roman"/>
                <w:sz w:val="20"/>
                <w:szCs w:val="20"/>
              </w:rPr>
              <w:t>Caso parecer desfavorável, comunicar o motivo ao interessado, e sendo a pendência sanável, atribuir um prazo para o atendimento, sob pena de arquivamento.</w:t>
            </w:r>
          </w:p>
        </w:tc>
        <w:tc>
          <w:tcPr>
            <w:tcW w:w="10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A1534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Memorando Circular nº 02/2020-PJU</w:t>
            </w:r>
          </w:p>
          <w:p w14:paraId="6E6C5D68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E34">
              <w:rPr>
                <w:rFonts w:ascii="Times New Roman" w:hAnsi="Times New Roman" w:cs="Times New Roman"/>
                <w:sz w:val="20"/>
                <w:szCs w:val="20"/>
              </w:rPr>
              <w:t>Parecer referencial nº 01/2020 -PJU</w:t>
            </w:r>
          </w:p>
        </w:tc>
        <w:tc>
          <w:tcPr>
            <w:tcW w:w="11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83FBD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2114C" w14:textId="77777777" w:rsidR="00DE540A" w:rsidRPr="004B0E34" w:rsidRDefault="00DE540A" w:rsidP="00B90BE5">
            <w:pPr>
              <w:pStyle w:val="Contedodatabela"/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BE25BF" w14:textId="77777777" w:rsidR="00DE540A" w:rsidRDefault="00DE540A" w:rsidP="00DE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B0E34">
        <w:rPr>
          <w:rFonts w:ascii="Times New Roman" w:hAnsi="Times New Roman"/>
          <w:color w:val="FF0000"/>
          <w:sz w:val="20"/>
          <w:szCs w:val="20"/>
        </w:rPr>
        <w:t xml:space="preserve">OBS: Todos os documentos a seguir apontados deverão ser apresentados em original e cópia, conforme o inciso II do artigo 3º da Lei nº. 13.726 de 8 de outubro de 2018, dispensando-se a autenticação das cópias, cabendo ao agente público, nesse caso, </w:t>
      </w:r>
      <w:r w:rsidRPr="004B0E34">
        <w:rPr>
          <w:rFonts w:ascii="Times New Roman" w:hAnsi="Times New Roman"/>
          <w:color w:val="FF0000"/>
          <w:sz w:val="20"/>
          <w:szCs w:val="20"/>
          <w:u w:val="single"/>
        </w:rPr>
        <w:t>mediante a comparação entre o original e a cópia</w:t>
      </w:r>
      <w:r w:rsidRPr="004B0E34">
        <w:rPr>
          <w:rFonts w:ascii="Times New Roman" w:hAnsi="Times New Roman"/>
          <w:color w:val="FF0000"/>
          <w:sz w:val="20"/>
          <w:szCs w:val="20"/>
        </w:rPr>
        <w:t xml:space="preserve">, </w:t>
      </w:r>
      <w:r w:rsidRPr="004B0E34">
        <w:rPr>
          <w:rFonts w:ascii="Times New Roman" w:hAnsi="Times New Roman"/>
          <w:color w:val="FF0000"/>
          <w:sz w:val="20"/>
          <w:szCs w:val="20"/>
          <w:u w:val="single"/>
        </w:rPr>
        <w:t>atestar a autenticidade</w:t>
      </w:r>
      <w:r w:rsidRPr="004B0E34">
        <w:rPr>
          <w:rFonts w:ascii="Times New Roman" w:hAnsi="Times New Roman"/>
          <w:color w:val="FF0000"/>
          <w:sz w:val="20"/>
          <w:szCs w:val="20"/>
        </w:rPr>
        <w:t xml:space="preserve">. Entretanto, quando o interessado não trouxer os originais para comparação da semelhança com a cópia, só poderão ser aceitas </w:t>
      </w:r>
      <w:r w:rsidRPr="004B0E34">
        <w:rPr>
          <w:rFonts w:ascii="Times New Roman" w:hAnsi="Times New Roman"/>
          <w:color w:val="FF0000"/>
          <w:sz w:val="20"/>
          <w:szCs w:val="20"/>
          <w:u w:val="single"/>
        </w:rPr>
        <w:t>cópias autenticadas</w:t>
      </w:r>
      <w:r w:rsidRPr="004B0E34">
        <w:rPr>
          <w:rFonts w:ascii="Times New Roman" w:hAnsi="Times New Roman"/>
          <w:color w:val="FF0000"/>
          <w:sz w:val="20"/>
          <w:szCs w:val="20"/>
        </w:rPr>
        <w:t>.</w:t>
      </w:r>
    </w:p>
    <w:p w14:paraId="59840113" w14:textId="77777777" w:rsidR="00065896" w:rsidRDefault="00065896" w:rsidP="00065896">
      <w:pPr>
        <w:rPr>
          <w:rFonts w:ascii="Times New Roman" w:hAnsi="Times New Roman"/>
          <w:color w:val="FF0000"/>
        </w:rPr>
      </w:pPr>
    </w:p>
    <w:p w14:paraId="07059F9C" w14:textId="2955BEC3" w:rsidR="00065896" w:rsidRPr="00952526" w:rsidRDefault="00065896" w:rsidP="00065896">
      <w:pPr>
        <w:rPr>
          <w:rFonts w:ascii="Times New Roman" w:hAnsi="Times New Roman"/>
          <w:color w:val="FF0000"/>
        </w:rPr>
      </w:pPr>
      <w:r w:rsidRPr="00952526">
        <w:rPr>
          <w:rFonts w:ascii="Times New Roman" w:hAnsi="Times New Roman"/>
          <w:color w:val="FF0000"/>
        </w:rPr>
        <w:t>Atualizado em dez/2024</w:t>
      </w:r>
    </w:p>
    <w:p w14:paraId="195257F9" w14:textId="77777777" w:rsidR="00065896" w:rsidRDefault="00065896" w:rsidP="00DE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50EF18F" w14:textId="77777777" w:rsidR="00065896" w:rsidRPr="004B0E34" w:rsidRDefault="00065896" w:rsidP="00DE5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F113AE8" w14:textId="77777777" w:rsidR="00E65D98" w:rsidRPr="004B0E34" w:rsidRDefault="00E65D98" w:rsidP="00DE540A">
      <w:pPr>
        <w:rPr>
          <w:rFonts w:ascii="Times New Roman" w:hAnsi="Times New Roman"/>
        </w:rPr>
      </w:pPr>
    </w:p>
    <w:sectPr w:rsidR="00E65D98" w:rsidRPr="004B0E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3E211" w14:textId="77777777" w:rsidR="00174B00" w:rsidRDefault="00174B00" w:rsidP="003F1859">
      <w:pPr>
        <w:spacing w:after="0" w:line="240" w:lineRule="auto"/>
      </w:pPr>
      <w:r>
        <w:separator/>
      </w:r>
    </w:p>
  </w:endnote>
  <w:endnote w:type="continuationSeparator" w:id="0">
    <w:p w14:paraId="32A869C8" w14:textId="77777777" w:rsidR="00174B00" w:rsidRDefault="00174B00" w:rsidP="003F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F9D46" w14:textId="77777777" w:rsidR="0058333D" w:rsidRDefault="00252D89">
    <w:pPr>
      <w:pStyle w:val="Rodap"/>
    </w:pPr>
    <w:r>
      <w:rPr>
        <w:noProof/>
        <w:lang w:eastAsia="pt-BR"/>
      </w:rPr>
      <w:drawing>
        <wp:inline distT="0" distB="0" distL="0" distR="0" wp14:anchorId="569AFC3B" wp14:editId="12CB5388">
          <wp:extent cx="5400040" cy="1174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E276" w14:textId="77777777" w:rsidR="00174B00" w:rsidRDefault="00174B00" w:rsidP="003F1859">
      <w:pPr>
        <w:spacing w:after="0" w:line="240" w:lineRule="auto"/>
      </w:pPr>
      <w:r>
        <w:separator/>
      </w:r>
    </w:p>
  </w:footnote>
  <w:footnote w:type="continuationSeparator" w:id="0">
    <w:p w14:paraId="4CF1355F" w14:textId="77777777" w:rsidR="00174B00" w:rsidRDefault="00174B00" w:rsidP="003F1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4C9D" w14:textId="77777777" w:rsidR="0058333D" w:rsidRDefault="0058333D">
    <w:pPr>
      <w:pStyle w:val="Cabealho"/>
    </w:pPr>
    <w:r>
      <w:rPr>
        <w:noProof/>
        <w:lang w:eastAsia="pt-BR"/>
      </w:rPr>
      <w:drawing>
        <wp:inline distT="0" distB="0" distL="0" distR="0" wp14:anchorId="68764AC5" wp14:editId="1D1F58B6">
          <wp:extent cx="5400040" cy="11747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ov-cosan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7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C60"/>
    <w:multiLevelType w:val="multilevel"/>
    <w:tmpl w:val="8FA8A4D8"/>
    <w:lvl w:ilvl="0">
      <w:start w:val="1"/>
      <w:numFmt w:val="lowerLetter"/>
      <w:suff w:val="space"/>
      <w:lvlText w:val="%1)"/>
      <w:lvlJc w:val="left"/>
      <w:pPr>
        <w:ind w:left="57" w:hanging="1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45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67" w:hanging="180"/>
      </w:pPr>
      <w:rPr>
        <w:rFonts w:hint="default"/>
      </w:rPr>
    </w:lvl>
  </w:abstractNum>
  <w:abstractNum w:abstractNumId="1" w15:restartNumberingAfterBreak="0">
    <w:nsid w:val="49CB30D5"/>
    <w:multiLevelType w:val="hybridMultilevel"/>
    <w:tmpl w:val="61683798"/>
    <w:lvl w:ilvl="0" w:tplc="B7166A38">
      <w:start w:val="1"/>
      <w:numFmt w:val="lowerLetter"/>
      <w:lvlText w:val="%1)"/>
      <w:lvlJc w:val="left"/>
      <w:pPr>
        <w:ind w:left="4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7" w:hanging="360"/>
      </w:pPr>
    </w:lvl>
    <w:lvl w:ilvl="2" w:tplc="0416001B" w:tentative="1">
      <w:start w:val="1"/>
      <w:numFmt w:val="lowerRoman"/>
      <w:lvlText w:val="%3."/>
      <w:lvlJc w:val="right"/>
      <w:pPr>
        <w:ind w:left="1847" w:hanging="180"/>
      </w:pPr>
    </w:lvl>
    <w:lvl w:ilvl="3" w:tplc="0416000F" w:tentative="1">
      <w:start w:val="1"/>
      <w:numFmt w:val="decimal"/>
      <w:lvlText w:val="%4."/>
      <w:lvlJc w:val="left"/>
      <w:pPr>
        <w:ind w:left="2567" w:hanging="360"/>
      </w:pPr>
    </w:lvl>
    <w:lvl w:ilvl="4" w:tplc="04160019" w:tentative="1">
      <w:start w:val="1"/>
      <w:numFmt w:val="lowerLetter"/>
      <w:lvlText w:val="%5."/>
      <w:lvlJc w:val="left"/>
      <w:pPr>
        <w:ind w:left="3287" w:hanging="360"/>
      </w:pPr>
    </w:lvl>
    <w:lvl w:ilvl="5" w:tplc="0416001B" w:tentative="1">
      <w:start w:val="1"/>
      <w:numFmt w:val="lowerRoman"/>
      <w:lvlText w:val="%6."/>
      <w:lvlJc w:val="right"/>
      <w:pPr>
        <w:ind w:left="4007" w:hanging="180"/>
      </w:pPr>
    </w:lvl>
    <w:lvl w:ilvl="6" w:tplc="0416000F" w:tentative="1">
      <w:start w:val="1"/>
      <w:numFmt w:val="decimal"/>
      <w:lvlText w:val="%7."/>
      <w:lvlJc w:val="left"/>
      <w:pPr>
        <w:ind w:left="4727" w:hanging="360"/>
      </w:pPr>
    </w:lvl>
    <w:lvl w:ilvl="7" w:tplc="04160019" w:tentative="1">
      <w:start w:val="1"/>
      <w:numFmt w:val="lowerLetter"/>
      <w:lvlText w:val="%8."/>
      <w:lvlJc w:val="left"/>
      <w:pPr>
        <w:ind w:left="5447" w:hanging="360"/>
      </w:pPr>
    </w:lvl>
    <w:lvl w:ilvl="8" w:tplc="0416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014378868">
    <w:abstractNumId w:val="1"/>
  </w:num>
  <w:num w:numId="2" w16cid:durableId="8141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2"/>
    <w:rsid w:val="00065896"/>
    <w:rsid w:val="000804F8"/>
    <w:rsid w:val="000A51F1"/>
    <w:rsid w:val="00173A80"/>
    <w:rsid w:val="00174B00"/>
    <w:rsid w:val="001C653F"/>
    <w:rsid w:val="001F7D5D"/>
    <w:rsid w:val="0022555B"/>
    <w:rsid w:val="00252D89"/>
    <w:rsid w:val="0027323A"/>
    <w:rsid w:val="002A465A"/>
    <w:rsid w:val="002D6631"/>
    <w:rsid w:val="002F2866"/>
    <w:rsid w:val="00315735"/>
    <w:rsid w:val="00366405"/>
    <w:rsid w:val="00370731"/>
    <w:rsid w:val="003801B2"/>
    <w:rsid w:val="003D3298"/>
    <w:rsid w:val="003F1859"/>
    <w:rsid w:val="00427B73"/>
    <w:rsid w:val="004870B4"/>
    <w:rsid w:val="004A0E61"/>
    <w:rsid w:val="004B0E34"/>
    <w:rsid w:val="004C7D13"/>
    <w:rsid w:val="005019A7"/>
    <w:rsid w:val="00515C6C"/>
    <w:rsid w:val="00523B16"/>
    <w:rsid w:val="00526BB5"/>
    <w:rsid w:val="00550D40"/>
    <w:rsid w:val="0058333D"/>
    <w:rsid w:val="005B260D"/>
    <w:rsid w:val="005C075B"/>
    <w:rsid w:val="005E321F"/>
    <w:rsid w:val="00627417"/>
    <w:rsid w:val="006759BD"/>
    <w:rsid w:val="0067684B"/>
    <w:rsid w:val="006C206C"/>
    <w:rsid w:val="006E7EB8"/>
    <w:rsid w:val="007149F7"/>
    <w:rsid w:val="00715563"/>
    <w:rsid w:val="008943A6"/>
    <w:rsid w:val="00952E7F"/>
    <w:rsid w:val="00953BE5"/>
    <w:rsid w:val="009924FB"/>
    <w:rsid w:val="009C2C87"/>
    <w:rsid w:val="009D1222"/>
    <w:rsid w:val="00A02C02"/>
    <w:rsid w:val="00A168AC"/>
    <w:rsid w:val="00A374B4"/>
    <w:rsid w:val="00A45822"/>
    <w:rsid w:val="00A55CD3"/>
    <w:rsid w:val="00A86B48"/>
    <w:rsid w:val="00AC7604"/>
    <w:rsid w:val="00B00D98"/>
    <w:rsid w:val="00B4298A"/>
    <w:rsid w:val="00BD6D2D"/>
    <w:rsid w:val="00C00834"/>
    <w:rsid w:val="00C10667"/>
    <w:rsid w:val="00C16127"/>
    <w:rsid w:val="00C424AF"/>
    <w:rsid w:val="00CF1839"/>
    <w:rsid w:val="00D003D0"/>
    <w:rsid w:val="00D069BA"/>
    <w:rsid w:val="00D12616"/>
    <w:rsid w:val="00D406F4"/>
    <w:rsid w:val="00DA291C"/>
    <w:rsid w:val="00DE540A"/>
    <w:rsid w:val="00DE72D1"/>
    <w:rsid w:val="00DF07EE"/>
    <w:rsid w:val="00E56527"/>
    <w:rsid w:val="00E65D98"/>
    <w:rsid w:val="00E97E42"/>
    <w:rsid w:val="00EA44CA"/>
    <w:rsid w:val="00EB0070"/>
    <w:rsid w:val="00EF66F6"/>
    <w:rsid w:val="00F067B3"/>
    <w:rsid w:val="00F633CF"/>
    <w:rsid w:val="00F77524"/>
    <w:rsid w:val="00F819A9"/>
    <w:rsid w:val="00F85308"/>
    <w:rsid w:val="00F9314A"/>
    <w:rsid w:val="00FA49D0"/>
    <w:rsid w:val="00F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F305D"/>
  <w15:chartTrackingRefBased/>
  <w15:docId w15:val="{709BDE9C-CFA1-4D00-B010-06057B70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3F18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18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185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5C075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58333D"/>
  </w:style>
  <w:style w:type="paragraph" w:styleId="Rodap">
    <w:name w:val="footer"/>
    <w:basedOn w:val="Normal"/>
    <w:link w:val="RodapChar"/>
    <w:unhideWhenUsed/>
    <w:rsid w:val="0058333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58333D"/>
  </w:style>
  <w:style w:type="paragraph" w:styleId="Textodebalo">
    <w:name w:val="Balloon Text"/>
    <w:basedOn w:val="Normal"/>
    <w:link w:val="TextodebaloChar"/>
    <w:uiPriority w:val="99"/>
    <w:semiHidden/>
    <w:unhideWhenUsed/>
    <w:rsid w:val="0031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BB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70731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7073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173A80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173A80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39"/>
    <w:rsid w:val="00A5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paragraph" w:customStyle="1" w:styleId="artigo">
    <w:name w:val="artigo"/>
    <w:basedOn w:val="Normal"/>
    <w:rsid w:val="00A45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racteresdenotaderodap">
    <w:name w:val="Caracteres de nota de rodapé"/>
    <w:rsid w:val="00A45822"/>
    <w:rPr>
      <w:vertAlign w:val="superscript"/>
    </w:rPr>
  </w:style>
  <w:style w:type="character" w:customStyle="1" w:styleId="Refdenotaderodap1">
    <w:name w:val="Ref. de nota de rodapé1"/>
    <w:rsid w:val="00A4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7782-733E-479B-A3A4-1CCA8635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Oliveira de Sousa</dc:creator>
  <cp:keywords/>
  <dc:description/>
  <cp:lastModifiedBy>Gisleno Cruz</cp:lastModifiedBy>
  <cp:revision>10</cp:revision>
  <cp:lastPrinted>2023-03-14T20:12:00Z</cp:lastPrinted>
  <dcterms:created xsi:type="dcterms:W3CDTF">2023-04-24T12:08:00Z</dcterms:created>
  <dcterms:modified xsi:type="dcterms:W3CDTF">2025-04-25T17:00:00Z</dcterms:modified>
</cp:coreProperties>
</file>