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B236" w14:textId="77777777" w:rsidR="00A55CD3" w:rsidRPr="001D475B" w:rsidRDefault="00A55CD3" w:rsidP="00A5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75B">
        <w:rPr>
          <w:rFonts w:ascii="Times New Roman" w:hAnsi="Times New Roman"/>
          <w:b/>
          <w:sz w:val="24"/>
          <w:szCs w:val="24"/>
        </w:rPr>
        <w:t>CHECK-LIST</w:t>
      </w:r>
    </w:p>
    <w:p w14:paraId="0997B3A9" w14:textId="77777777" w:rsidR="00A55CD3" w:rsidRPr="001D475B" w:rsidRDefault="00A55CD3" w:rsidP="00A5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75B">
        <w:rPr>
          <w:rFonts w:ascii="Times New Roman" w:hAnsi="Times New Roman"/>
          <w:b/>
          <w:sz w:val="24"/>
          <w:szCs w:val="24"/>
        </w:rPr>
        <w:t>PRORROGAÇÃO DE PRAZO</w:t>
      </w:r>
    </w:p>
    <w:p w14:paraId="1BD41F8E" w14:textId="77777777" w:rsidR="00A55CD3" w:rsidRPr="001D475B" w:rsidRDefault="00A55CD3" w:rsidP="00A5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75B">
        <w:rPr>
          <w:rFonts w:ascii="Times New Roman" w:hAnsi="Times New Roman"/>
          <w:b/>
          <w:sz w:val="24"/>
          <w:szCs w:val="24"/>
        </w:rPr>
        <w:t>FORNECIMENTO E SERVIÇOS CONTÍNUOS</w:t>
      </w:r>
    </w:p>
    <w:p w14:paraId="33CB572A" w14:textId="77777777" w:rsidR="00A55CD3" w:rsidRPr="001D475B" w:rsidRDefault="00A55CD3" w:rsidP="00A55CD3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05"/>
        <w:gridCol w:w="2202"/>
        <w:gridCol w:w="2274"/>
        <w:gridCol w:w="2046"/>
        <w:gridCol w:w="667"/>
      </w:tblGrid>
      <w:tr w:rsidR="001D475B" w:rsidRPr="001D475B" w14:paraId="2692CE2A" w14:textId="77777777" w:rsidTr="008B7578">
        <w:trPr>
          <w:trHeight w:val="426"/>
        </w:trPr>
        <w:tc>
          <w:tcPr>
            <w:tcW w:w="753" w:type="pct"/>
          </w:tcPr>
          <w:p w14:paraId="1ADBB22A" w14:textId="77777777" w:rsidR="00A55CD3" w:rsidRPr="001D475B" w:rsidRDefault="00A55CD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304" w:type="pct"/>
          </w:tcPr>
          <w:p w14:paraId="794EA8CE" w14:textId="77777777" w:rsidR="00A55CD3" w:rsidRPr="001D475B" w:rsidRDefault="00A55CD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/>
                <w:sz w:val="20"/>
                <w:szCs w:val="20"/>
              </w:rPr>
              <w:t>ATOS</w:t>
            </w:r>
          </w:p>
        </w:tc>
        <w:tc>
          <w:tcPr>
            <w:tcW w:w="1346" w:type="pct"/>
          </w:tcPr>
          <w:p w14:paraId="59AEE5D7" w14:textId="77777777" w:rsidR="00A55CD3" w:rsidRPr="001D475B" w:rsidRDefault="00A55CD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204" w:type="pct"/>
          </w:tcPr>
          <w:p w14:paraId="25B43E73" w14:textId="77777777" w:rsidR="00A55CD3" w:rsidRPr="001D475B" w:rsidRDefault="00A55CD3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0ECC9759" w14:textId="77777777" w:rsidR="00A55CD3" w:rsidRPr="001D475B" w:rsidRDefault="00A55CD3" w:rsidP="00B90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93" w:type="pct"/>
          </w:tcPr>
          <w:p w14:paraId="59D6F571" w14:textId="77777777" w:rsidR="00A55CD3" w:rsidRPr="001D475B" w:rsidRDefault="00A55CD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/>
                <w:sz w:val="20"/>
                <w:szCs w:val="20"/>
              </w:rPr>
              <w:t>SEQ.</w:t>
            </w:r>
          </w:p>
        </w:tc>
      </w:tr>
      <w:tr w:rsidR="001D475B" w:rsidRPr="001D475B" w14:paraId="7CC599B9" w14:textId="77777777" w:rsidTr="008B7578">
        <w:trPr>
          <w:trHeight w:val="1721"/>
        </w:trPr>
        <w:tc>
          <w:tcPr>
            <w:tcW w:w="753" w:type="pct"/>
          </w:tcPr>
          <w:p w14:paraId="68FBDA20" w14:textId="77777777" w:rsidR="00A55CD3" w:rsidRPr="001D475B" w:rsidRDefault="00A55CD3" w:rsidP="00B90BE5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Gestor do Contrato</w:t>
            </w:r>
          </w:p>
        </w:tc>
        <w:tc>
          <w:tcPr>
            <w:tcW w:w="1304" w:type="pct"/>
          </w:tcPr>
          <w:p w14:paraId="1CC3B980" w14:textId="760548E0" w:rsidR="00A55CD3" w:rsidRPr="001D475B" w:rsidRDefault="008B7578" w:rsidP="008B757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rFonts w:ascii="Times New Roman" w:eastAsia="Times New Roman" w:hAnsi="Times New Roman"/>
                <w:bCs/>
                <w:sz w:val="20"/>
                <w:szCs w:val="20"/>
                <w:lang w:val="pt-PT"/>
              </w:rPr>
              <w:t xml:space="preserve">a) </w:t>
            </w:r>
            <w:r w:rsidR="0093485D">
              <w:rPr>
                <w:rFonts w:ascii="Times New Roman" w:eastAsia="Times New Roman" w:hAnsi="Times New Roman"/>
                <w:bCs/>
                <w:sz w:val="20"/>
                <w:szCs w:val="20"/>
                <w:lang w:val="pt-PT"/>
              </w:rPr>
              <w:t>Ofício</w:t>
            </w:r>
            <w:bookmarkStart w:id="0" w:name="_GoBack"/>
            <w:bookmarkEnd w:id="0"/>
            <w:r w:rsidR="00A55CD3" w:rsidRPr="001D475B">
              <w:rPr>
                <w:rFonts w:ascii="Times New Roman" w:eastAsia="Times New Roman" w:hAnsi="Times New Roman"/>
                <w:bCs/>
                <w:sz w:val="20"/>
                <w:szCs w:val="20"/>
                <w:lang w:val="pt-PT"/>
              </w:rPr>
              <w:t xml:space="preserve"> de solicitação de prorrogação com antecedência, preferencialmente, em 90 dias, com manifestação de regularidade na execução contratual</w:t>
            </w:r>
            <w:r w:rsidR="00A55CD3" w:rsidRPr="001D475B">
              <w:rPr>
                <w:bCs/>
                <w:sz w:val="20"/>
                <w:szCs w:val="20"/>
              </w:rPr>
              <w:t xml:space="preserve"> </w:t>
            </w:r>
          </w:p>
          <w:p w14:paraId="20EBF8A9" w14:textId="77777777" w:rsidR="008B7578" w:rsidRPr="001D475B" w:rsidRDefault="008B7578" w:rsidP="0003668A">
            <w:pPr>
              <w:pStyle w:val="TableParagraph"/>
              <w:spacing w:line="221" w:lineRule="exact"/>
              <w:ind w:left="64"/>
              <w:jc w:val="both"/>
            </w:pPr>
          </w:p>
        </w:tc>
        <w:tc>
          <w:tcPr>
            <w:tcW w:w="1346" w:type="pct"/>
          </w:tcPr>
          <w:p w14:paraId="17AF289D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 Art. 71, da Lei 13.303/16. Duração dos contratos. Até 5 (cinco) anos, exceção: i) projetos contemplados no plano de negócios e investimentos; </w:t>
            </w:r>
            <w:proofErr w:type="spellStart"/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  <w:proofErr w:type="spellEnd"/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) prática rotineira de mercado e a imposição desse prazo inviabilize ou onere excessivamente a realização do negócio.</w:t>
            </w:r>
            <w:bookmarkStart w:id="1" w:name="art71p"/>
            <w:bookmarkEnd w:id="1"/>
          </w:p>
          <w:p w14:paraId="1C79A1F5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B5D1DF" w14:textId="176A5C3D" w:rsidR="008B7578" w:rsidRPr="001D475B" w:rsidRDefault="008B7578" w:rsidP="008B7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" w:type="pct"/>
          </w:tcPr>
          <w:p w14:paraId="1B4132C1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2F44C851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63391AEF" w14:textId="77777777" w:rsidTr="008B7578">
        <w:trPr>
          <w:trHeight w:val="4784"/>
        </w:trPr>
        <w:tc>
          <w:tcPr>
            <w:tcW w:w="753" w:type="pct"/>
          </w:tcPr>
          <w:p w14:paraId="2E76F7CB" w14:textId="1D0C190D" w:rsidR="0003668A" w:rsidRPr="001D475B" w:rsidRDefault="0003668A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Diretoria Requisitante</w:t>
            </w:r>
          </w:p>
        </w:tc>
        <w:tc>
          <w:tcPr>
            <w:tcW w:w="1304" w:type="pct"/>
          </w:tcPr>
          <w:p w14:paraId="66AC7ADF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b) Elaboração de justificativa para manutenção do objeto contratado, identificando:</w:t>
            </w:r>
          </w:p>
          <w:p w14:paraId="01F2B56D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b.1) se tem previsão contratual para prorrogação, se está vigente e se os aditivos de prazo foram firmados dentro da vigência;</w:t>
            </w:r>
          </w:p>
          <w:p w14:paraId="5726C61A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b.2) a natureza contínua do serviço ou fornecimento de bens;</w:t>
            </w:r>
          </w:p>
          <w:p w14:paraId="058AB36F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b.3) não alteração do objeto e do escopo;</w:t>
            </w:r>
          </w:p>
          <w:p w14:paraId="35126797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b.4) o prazo de prorrogação;</w:t>
            </w:r>
          </w:p>
          <w:p w14:paraId="1E1CE386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b.5) juntar anuência da contratada;</w:t>
            </w:r>
          </w:p>
          <w:p w14:paraId="55515316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b.6) prorrogação de contrato de dispensa deve observar o art. 74 do RILC;</w:t>
            </w:r>
          </w:p>
          <w:p w14:paraId="250CFEB7" w14:textId="77777777" w:rsidR="0003668A" w:rsidRPr="001D475B" w:rsidRDefault="0003668A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pct"/>
          </w:tcPr>
          <w:p w14:paraId="6661613B" w14:textId="77777777" w:rsidR="0003668A" w:rsidRPr="001D475B" w:rsidRDefault="0003668A" w:rsidP="000366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Art. 71, da Lei 13.303/16 c/c ON/AGU nº 36/2011. É vedado o contrato por prazo indeterminado, exceto nos casos em que seja usuária de serviço público oferecido em regime de monopólio.</w:t>
            </w:r>
          </w:p>
          <w:p w14:paraId="40DC02CE" w14:textId="77777777" w:rsidR="0003668A" w:rsidRPr="001D475B" w:rsidRDefault="0003668A" w:rsidP="000366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6461AA" w14:textId="77777777" w:rsidR="0003668A" w:rsidRPr="001D475B" w:rsidRDefault="0003668A" w:rsidP="000366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Art. 8º, LXVIII do RILC. </w:t>
            </w:r>
          </w:p>
          <w:p w14:paraId="4D03A5E0" w14:textId="77777777" w:rsidR="0003668A" w:rsidRPr="001D475B" w:rsidRDefault="0003668A" w:rsidP="000366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946F65" w14:textId="1FFF6A87" w:rsidR="0003668A" w:rsidRPr="001D475B" w:rsidRDefault="0003668A" w:rsidP="000366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Art. 74 do RILC. A prorrogação de uma contratação direta deve ser excepcional e devidamente planejada e motivada, e a somatória de valores da dispensa e da respectiva prorrogação não deve ultrapassar os limites previstos nos incisos I e II do art. 69 (R$ 100.000,00 ou R$50.000,00)</w:t>
            </w:r>
          </w:p>
        </w:tc>
        <w:tc>
          <w:tcPr>
            <w:tcW w:w="1204" w:type="pct"/>
          </w:tcPr>
          <w:p w14:paraId="1F826962" w14:textId="77777777" w:rsidR="0003668A" w:rsidRPr="001D475B" w:rsidRDefault="0003668A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9119975" w14:textId="77777777" w:rsidR="0003668A" w:rsidRPr="001D475B" w:rsidRDefault="0003668A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0FC32214" w14:textId="77777777" w:rsidTr="008B7578">
        <w:trPr>
          <w:trHeight w:val="4784"/>
        </w:trPr>
        <w:tc>
          <w:tcPr>
            <w:tcW w:w="753" w:type="pct"/>
          </w:tcPr>
          <w:p w14:paraId="09D42378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USSA</w:t>
            </w:r>
          </w:p>
        </w:tc>
        <w:tc>
          <w:tcPr>
            <w:tcW w:w="1304" w:type="pct"/>
          </w:tcPr>
          <w:p w14:paraId="2A616DB7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c) Manifestação conclusiva sobre a vantajosidade econômica.</w:t>
            </w:r>
          </w:p>
          <w:p w14:paraId="76BAC504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c.1) Regra. Mapa com no mínimo 3 (três) preços sendo, no mínimo, 1 (um) preço registrado no SIMAS/PNCP/Similar, e os demais extraídos de pesquisa mercadológica diversa. Justificar inviabilidade.</w:t>
            </w:r>
          </w:p>
          <w:p w14:paraId="76252BDA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c.2) Exceção. Contrato de serviço com/sem dedicação exclusiva de mão-de-obra. Atestado pelo gestor que o índice de reajuste/repactuação acompanha variação ordinária dos preços.</w:t>
            </w:r>
          </w:p>
        </w:tc>
        <w:tc>
          <w:tcPr>
            <w:tcW w:w="1346" w:type="pct"/>
          </w:tcPr>
          <w:p w14:paraId="0B103EB6" w14:textId="2D2AA30E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Art. 1º, §2º do Decreto Estadual nº 2.734/22. </w:t>
            </w:r>
          </w:p>
          <w:p w14:paraId="094290FB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C09DE3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Exceção: TCU/Acórdão nº 1.214/2013-Plenário. </w:t>
            </w:r>
          </w:p>
          <w:p w14:paraId="4D75E9DA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99289C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Obs. Caso esteja mais elevado, negociar para firmar preço mais baixo. Negociar renúncia expressa ao reajuste/repactuação.</w:t>
            </w:r>
          </w:p>
        </w:tc>
        <w:tc>
          <w:tcPr>
            <w:tcW w:w="1204" w:type="pct"/>
          </w:tcPr>
          <w:p w14:paraId="71B7CF65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339C5705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6703D241" w14:textId="77777777" w:rsidTr="008B7578">
        <w:trPr>
          <w:trHeight w:val="1714"/>
        </w:trPr>
        <w:tc>
          <w:tcPr>
            <w:tcW w:w="753" w:type="pct"/>
          </w:tcPr>
          <w:p w14:paraId="4BFF02C7" w14:textId="1987FEEB" w:rsidR="00A55CD3" w:rsidRPr="001D475B" w:rsidRDefault="008B7578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Planejamento</w:t>
            </w:r>
          </w:p>
        </w:tc>
        <w:tc>
          <w:tcPr>
            <w:tcW w:w="1304" w:type="pct"/>
          </w:tcPr>
          <w:p w14:paraId="111A57E6" w14:textId="2A8C8454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d) Atesto da disponibilidade orçamentária</w:t>
            </w:r>
            <w:r w:rsidR="008B7578" w:rsidRPr="001D47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14:paraId="3AAAD099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46114058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1204" w:type="pct"/>
          </w:tcPr>
          <w:p w14:paraId="1EDE43BE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4FD98659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03CDD05B" w14:textId="77777777" w:rsidTr="008B7578">
        <w:trPr>
          <w:trHeight w:val="1113"/>
        </w:trPr>
        <w:tc>
          <w:tcPr>
            <w:tcW w:w="753" w:type="pct"/>
          </w:tcPr>
          <w:p w14:paraId="18A60439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Diretor Presidente</w:t>
            </w:r>
          </w:p>
        </w:tc>
        <w:tc>
          <w:tcPr>
            <w:tcW w:w="1304" w:type="pct"/>
          </w:tcPr>
          <w:p w14:paraId="33FCB4CE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e) Autoridade competente autoriza adoção dos procedimentos necessários à formalização do aditivo;</w:t>
            </w:r>
          </w:p>
        </w:tc>
        <w:tc>
          <w:tcPr>
            <w:tcW w:w="1346" w:type="pct"/>
          </w:tcPr>
          <w:p w14:paraId="00B12239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67AA0F4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" w:type="pct"/>
          </w:tcPr>
          <w:p w14:paraId="497D659E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AB02D7C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3CB238C2" w14:textId="77777777" w:rsidTr="008B7578">
        <w:trPr>
          <w:trHeight w:val="429"/>
        </w:trPr>
        <w:tc>
          <w:tcPr>
            <w:tcW w:w="753" w:type="pct"/>
          </w:tcPr>
          <w:p w14:paraId="09BEF287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CCC</w:t>
            </w:r>
          </w:p>
        </w:tc>
        <w:tc>
          <w:tcPr>
            <w:tcW w:w="1304" w:type="pct"/>
          </w:tcPr>
          <w:p w14:paraId="46367988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f) Elaboração da minuta do termo aditivo</w:t>
            </w:r>
            <w:r w:rsidR="008B7578" w:rsidRPr="001D47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D6AD2BF" w14:textId="10E48411" w:rsidR="008B7578" w:rsidRPr="001D475B" w:rsidRDefault="008B7578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g) Consulta regularidade fiscal, trabalhista, previdenciária e CADIN/PA.</w:t>
            </w:r>
          </w:p>
        </w:tc>
        <w:tc>
          <w:tcPr>
            <w:tcW w:w="1346" w:type="pct"/>
          </w:tcPr>
          <w:p w14:paraId="0623E1F3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" w:type="pct"/>
          </w:tcPr>
          <w:p w14:paraId="299FE4CC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76191E74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7145BB9E" w14:textId="77777777" w:rsidTr="008B7578">
        <w:trPr>
          <w:trHeight w:val="438"/>
        </w:trPr>
        <w:tc>
          <w:tcPr>
            <w:tcW w:w="753" w:type="pct"/>
          </w:tcPr>
          <w:p w14:paraId="1C38449E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PJU</w:t>
            </w:r>
          </w:p>
        </w:tc>
        <w:tc>
          <w:tcPr>
            <w:tcW w:w="1304" w:type="pct"/>
          </w:tcPr>
          <w:p w14:paraId="35AD2895" w14:textId="273CE71A" w:rsidR="00A55CD3" w:rsidRPr="001D475B" w:rsidRDefault="008B7578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A55CD3" w:rsidRPr="001D475B">
              <w:rPr>
                <w:rFonts w:ascii="Times New Roman" w:hAnsi="Times New Roman"/>
                <w:bCs/>
                <w:sz w:val="20"/>
                <w:szCs w:val="20"/>
              </w:rPr>
              <w:t>) Parecer jurídico</w:t>
            </w:r>
          </w:p>
        </w:tc>
        <w:tc>
          <w:tcPr>
            <w:tcW w:w="1346" w:type="pct"/>
          </w:tcPr>
          <w:p w14:paraId="4EFAA509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Art. 7º do RILC. </w:t>
            </w:r>
          </w:p>
        </w:tc>
        <w:tc>
          <w:tcPr>
            <w:tcW w:w="1204" w:type="pct"/>
          </w:tcPr>
          <w:p w14:paraId="009A19FF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32E4094E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5CD3" w:rsidRPr="001D475B" w14:paraId="2DA8753E" w14:textId="77777777" w:rsidTr="008B7578">
        <w:trPr>
          <w:trHeight w:val="1536"/>
        </w:trPr>
        <w:tc>
          <w:tcPr>
            <w:tcW w:w="753" w:type="pct"/>
          </w:tcPr>
          <w:p w14:paraId="1B3B9047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CCC</w:t>
            </w:r>
          </w:p>
        </w:tc>
        <w:tc>
          <w:tcPr>
            <w:tcW w:w="1304" w:type="pct"/>
          </w:tcPr>
          <w:p w14:paraId="571AB701" w14:textId="07A1E9B3" w:rsidR="00A55CD3" w:rsidRPr="001D475B" w:rsidRDefault="008B7578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D475B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A55CD3" w:rsidRPr="001D475B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A55CD3" w:rsidRPr="001D475B">
              <w:rPr>
                <w:rFonts w:ascii="Times New Roman" w:hAnsi="Times New Roman"/>
                <w:bCs/>
                <w:sz w:val="20"/>
                <w:szCs w:val="20"/>
              </w:rPr>
              <w:t>Colher</w:t>
            </w:r>
            <w:proofErr w:type="gramEnd"/>
            <w:r w:rsidR="00A55CD3"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 assinaturas e realizar a publicação do extrato na imprensa oficial, no prazo de 10 (dez) dias, a contar de sua assinatura, com disponibilização no site da Companhia</w:t>
            </w:r>
          </w:p>
        </w:tc>
        <w:tc>
          <w:tcPr>
            <w:tcW w:w="1346" w:type="pct"/>
          </w:tcPr>
          <w:p w14:paraId="36EB7895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027DB018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Art. 130 do RILC</w:t>
            </w:r>
          </w:p>
        </w:tc>
        <w:tc>
          <w:tcPr>
            <w:tcW w:w="1204" w:type="pct"/>
          </w:tcPr>
          <w:p w14:paraId="2AD93288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9744C85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F113AE8" w14:textId="77777777" w:rsidR="00E65D98" w:rsidRPr="001D475B" w:rsidRDefault="00E65D98" w:rsidP="00A55CD3"/>
    <w:sectPr w:rsidR="00E65D98" w:rsidRPr="001D475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71EF8" w14:textId="77777777" w:rsidR="002A5A47" w:rsidRDefault="002A5A47" w:rsidP="003F1859">
      <w:pPr>
        <w:spacing w:after="0" w:line="240" w:lineRule="auto"/>
      </w:pPr>
      <w:r>
        <w:separator/>
      </w:r>
    </w:p>
  </w:endnote>
  <w:endnote w:type="continuationSeparator" w:id="0">
    <w:p w14:paraId="1F461399" w14:textId="77777777" w:rsidR="002A5A47" w:rsidRDefault="002A5A47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05AC" w14:textId="77777777" w:rsidR="002A5A47" w:rsidRDefault="002A5A47" w:rsidP="003F1859">
      <w:pPr>
        <w:spacing w:after="0" w:line="240" w:lineRule="auto"/>
      </w:pPr>
      <w:r>
        <w:separator/>
      </w:r>
    </w:p>
  </w:footnote>
  <w:footnote w:type="continuationSeparator" w:id="0">
    <w:p w14:paraId="63CBB233" w14:textId="77777777" w:rsidR="002A5A47" w:rsidRDefault="002A5A47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171"/>
    <w:multiLevelType w:val="hybridMultilevel"/>
    <w:tmpl w:val="77A0C93A"/>
    <w:lvl w:ilvl="0" w:tplc="18C234D6">
      <w:start w:val="1"/>
      <w:numFmt w:val="lowerLetter"/>
      <w:lvlText w:val="%1)"/>
      <w:lvlJc w:val="left"/>
      <w:pPr>
        <w:ind w:left="855" w:hanging="495"/>
      </w:pPr>
      <w:rPr>
        <w:rFonts w:ascii="Times New Roman" w:eastAsia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3668A"/>
    <w:rsid w:val="000804F8"/>
    <w:rsid w:val="000A51F1"/>
    <w:rsid w:val="00173A80"/>
    <w:rsid w:val="001D475B"/>
    <w:rsid w:val="001F7D5D"/>
    <w:rsid w:val="0022555B"/>
    <w:rsid w:val="00252D89"/>
    <w:rsid w:val="0027323A"/>
    <w:rsid w:val="002A465A"/>
    <w:rsid w:val="002A5A47"/>
    <w:rsid w:val="00315735"/>
    <w:rsid w:val="00370731"/>
    <w:rsid w:val="003801B2"/>
    <w:rsid w:val="003D3298"/>
    <w:rsid w:val="003F1859"/>
    <w:rsid w:val="00437364"/>
    <w:rsid w:val="004870B4"/>
    <w:rsid w:val="004A0E61"/>
    <w:rsid w:val="005019A7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943A6"/>
    <w:rsid w:val="008B7578"/>
    <w:rsid w:val="0093485D"/>
    <w:rsid w:val="009353F7"/>
    <w:rsid w:val="00952E7F"/>
    <w:rsid w:val="00953BE5"/>
    <w:rsid w:val="009C2C87"/>
    <w:rsid w:val="009D1222"/>
    <w:rsid w:val="00A02C02"/>
    <w:rsid w:val="00A168AC"/>
    <w:rsid w:val="00A55CD3"/>
    <w:rsid w:val="00A86B48"/>
    <w:rsid w:val="00AC7604"/>
    <w:rsid w:val="00B00D98"/>
    <w:rsid w:val="00B4298A"/>
    <w:rsid w:val="00C10667"/>
    <w:rsid w:val="00C16127"/>
    <w:rsid w:val="00C308F7"/>
    <w:rsid w:val="00C424AF"/>
    <w:rsid w:val="00D003D0"/>
    <w:rsid w:val="00D406F4"/>
    <w:rsid w:val="00D838A7"/>
    <w:rsid w:val="00DE72D1"/>
    <w:rsid w:val="00DF07EE"/>
    <w:rsid w:val="00E56527"/>
    <w:rsid w:val="00E65D98"/>
    <w:rsid w:val="00E97E42"/>
    <w:rsid w:val="00EA44CA"/>
    <w:rsid w:val="00EF66F6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1523-7F55-4D5A-A010-E85B5CDC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Ana Paula  Barbosa da Rocha Gomes</cp:lastModifiedBy>
  <cp:revision>7</cp:revision>
  <cp:lastPrinted>2023-03-14T20:12:00Z</cp:lastPrinted>
  <dcterms:created xsi:type="dcterms:W3CDTF">2023-04-24T12:04:00Z</dcterms:created>
  <dcterms:modified xsi:type="dcterms:W3CDTF">2023-07-11T16:49:00Z</dcterms:modified>
</cp:coreProperties>
</file>