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910A" w14:textId="77777777" w:rsidR="00427B73" w:rsidRPr="00071978" w:rsidRDefault="00427B73" w:rsidP="0042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978">
        <w:rPr>
          <w:rFonts w:ascii="Times New Roman" w:hAnsi="Times New Roman"/>
          <w:b/>
          <w:sz w:val="24"/>
          <w:szCs w:val="24"/>
        </w:rPr>
        <w:t>CHECK-LIST</w:t>
      </w:r>
    </w:p>
    <w:p w14:paraId="71450844" w14:textId="77777777" w:rsidR="00427B73" w:rsidRPr="00071978" w:rsidRDefault="00427B73" w:rsidP="0042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978">
        <w:rPr>
          <w:rFonts w:ascii="Times New Roman" w:hAnsi="Times New Roman"/>
          <w:b/>
          <w:sz w:val="24"/>
          <w:szCs w:val="24"/>
        </w:rPr>
        <w:t>PRORROGAÇÃO DE PRAZO</w:t>
      </w:r>
    </w:p>
    <w:p w14:paraId="005B1E87" w14:textId="77777777" w:rsidR="00427B73" w:rsidRPr="00071978" w:rsidRDefault="00427B73" w:rsidP="0042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978">
        <w:rPr>
          <w:rFonts w:ascii="Times New Roman" w:hAnsi="Times New Roman"/>
          <w:b/>
          <w:sz w:val="24"/>
          <w:szCs w:val="24"/>
        </w:rPr>
        <w:t>OBRAS E SERVIÇOS DE ENGENHARIA</w:t>
      </w:r>
    </w:p>
    <w:p w14:paraId="42AEE467" w14:textId="77777777" w:rsidR="00427B73" w:rsidRPr="00071978" w:rsidRDefault="00427B73" w:rsidP="00427B73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1"/>
        <w:gridCol w:w="1700"/>
        <w:gridCol w:w="702"/>
      </w:tblGrid>
      <w:tr w:rsidR="00071978" w:rsidRPr="00071978" w14:paraId="4B0A090D" w14:textId="77777777" w:rsidTr="00AA1E2D">
        <w:trPr>
          <w:trHeight w:val="426"/>
        </w:trPr>
        <w:tc>
          <w:tcPr>
            <w:tcW w:w="832" w:type="pct"/>
          </w:tcPr>
          <w:p w14:paraId="4A7D2893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335" w:type="pct"/>
          </w:tcPr>
          <w:p w14:paraId="3E8A5982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ATOS</w:t>
            </w:r>
          </w:p>
        </w:tc>
        <w:tc>
          <w:tcPr>
            <w:tcW w:w="1419" w:type="pct"/>
          </w:tcPr>
          <w:p w14:paraId="5C989C5A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001" w:type="pct"/>
          </w:tcPr>
          <w:p w14:paraId="65B31783" w14:textId="77777777" w:rsidR="00427B73" w:rsidRPr="00071978" w:rsidRDefault="00427B73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2299EF3B" w14:textId="77777777" w:rsidR="00427B73" w:rsidRPr="00071978" w:rsidRDefault="00427B73" w:rsidP="00B90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413" w:type="pct"/>
          </w:tcPr>
          <w:p w14:paraId="067B80D4" w14:textId="77777777" w:rsidR="00427B73" w:rsidRPr="00071978" w:rsidRDefault="00427B7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/>
                <w:sz w:val="20"/>
                <w:szCs w:val="20"/>
              </w:rPr>
              <w:t>SEQ.</w:t>
            </w:r>
          </w:p>
        </w:tc>
      </w:tr>
      <w:tr w:rsidR="00071978" w:rsidRPr="00071978" w14:paraId="4EF8B9BF" w14:textId="77777777" w:rsidTr="00AA1E2D">
        <w:trPr>
          <w:trHeight w:val="1721"/>
        </w:trPr>
        <w:tc>
          <w:tcPr>
            <w:tcW w:w="832" w:type="pct"/>
          </w:tcPr>
          <w:p w14:paraId="5B0A0EDD" w14:textId="77777777" w:rsidR="00427B73" w:rsidRPr="00071978" w:rsidRDefault="00427B73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Gestor do Contrato</w:t>
            </w:r>
          </w:p>
        </w:tc>
        <w:tc>
          <w:tcPr>
            <w:tcW w:w="1335" w:type="pct"/>
          </w:tcPr>
          <w:p w14:paraId="32D149DE" w14:textId="62BA28D6" w:rsidR="00427B73" w:rsidRPr="00071978" w:rsidRDefault="00C46500" w:rsidP="00C46500">
            <w:pPr>
              <w:pStyle w:val="TableParagraph"/>
              <w:spacing w:line="221" w:lineRule="exact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 xml:space="preserve">a) </w:t>
            </w:r>
            <w:r w:rsidR="00427B73" w:rsidRPr="00071978">
              <w:rPr>
                <w:bCs/>
                <w:sz w:val="20"/>
                <w:szCs w:val="20"/>
              </w:rPr>
              <w:t>Memorando de solicitação de prorrogação com antecedência, preferencialmente, em 90 dias, com manifestação de regularidade na execução contratual</w:t>
            </w:r>
            <w:r w:rsidRPr="00071978">
              <w:rPr>
                <w:bCs/>
                <w:sz w:val="20"/>
                <w:szCs w:val="20"/>
              </w:rPr>
              <w:t>;</w:t>
            </w:r>
          </w:p>
          <w:p w14:paraId="2BE917A4" w14:textId="10C214F5" w:rsidR="00C46500" w:rsidRPr="00071978" w:rsidRDefault="00C46500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pct"/>
          </w:tcPr>
          <w:p w14:paraId="283CC2E0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 Art. 71, da Lei 13.303/16. Duração dos contratos. Até 5 (cinco) anos, exceção: i) projetos contemplados no plano de negócios e investimentos; ii) prática rotineira de mercado e a imposição desse prazo inviabilize ou onere excessivamente a realização do negócio.</w:t>
            </w:r>
          </w:p>
          <w:p w14:paraId="38EC7C7A" w14:textId="77777777" w:rsidR="00C46500" w:rsidRPr="00071978" w:rsidRDefault="00C46500" w:rsidP="00C46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0CCC1D" w14:textId="77777777" w:rsidR="00427B73" w:rsidRPr="00071978" w:rsidRDefault="00427B73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0BFF4BFB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5C128EA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7238BCBE" w14:textId="77777777" w:rsidTr="00AA1E2D">
        <w:trPr>
          <w:trHeight w:val="540"/>
        </w:trPr>
        <w:tc>
          <w:tcPr>
            <w:tcW w:w="832" w:type="pct"/>
          </w:tcPr>
          <w:p w14:paraId="4AF204EF" w14:textId="2E16B09D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Diretoria Requisitante</w:t>
            </w:r>
          </w:p>
        </w:tc>
        <w:tc>
          <w:tcPr>
            <w:tcW w:w="1335" w:type="pct"/>
          </w:tcPr>
          <w:p w14:paraId="2FAF958F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b) Elaboração de justificativa para manutenção do objeto contratado, identificando:</w:t>
            </w:r>
          </w:p>
          <w:p w14:paraId="7E096D5B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b.1) se tem previsão contratual para prorrogação, se está vigente e se os aditivos de prazo foram firmados dentro da vigência;</w:t>
            </w:r>
          </w:p>
          <w:p w14:paraId="4AB5372A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b.2) aplicação em pelo menos uma das hipóteses do art. 81 da Lei nº 13.303/16, sendo inaplicável à contratação integrada;</w:t>
            </w:r>
          </w:p>
          <w:p w14:paraId="251230E2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b.3) não alteração do objeto e do escopo;</w:t>
            </w:r>
          </w:p>
          <w:p w14:paraId="45EA13C9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b.4) o prazo de prorrogação;</w:t>
            </w:r>
          </w:p>
          <w:p w14:paraId="4005DD03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b.5) juntar anuência da contratada;</w:t>
            </w:r>
          </w:p>
          <w:p w14:paraId="3BFC9182" w14:textId="77777777" w:rsidR="00AA1E2D" w:rsidRPr="00071978" w:rsidRDefault="00AA1E2D" w:rsidP="00AA1E2D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071978">
              <w:rPr>
                <w:bCs/>
                <w:sz w:val="20"/>
                <w:szCs w:val="20"/>
              </w:rPr>
              <w:t>b.6) contrato de dispensa deve observar o art. 74 do RILC;</w:t>
            </w:r>
          </w:p>
          <w:p w14:paraId="41B41081" w14:textId="77777777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pct"/>
          </w:tcPr>
          <w:p w14:paraId="378BD53C" w14:textId="77777777" w:rsidR="00AA1E2D" w:rsidRPr="00071978" w:rsidRDefault="00AA1E2D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81, da Lei 13.303/16.</w:t>
            </w:r>
          </w:p>
          <w:p w14:paraId="0A8035DE" w14:textId="77777777" w:rsidR="00AA1E2D" w:rsidRPr="00071978" w:rsidRDefault="00AA1E2D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9F3BAB" w14:textId="77777777" w:rsidR="00AA1E2D" w:rsidRPr="00071978" w:rsidRDefault="00AA1E2D" w:rsidP="00AA1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74 do RILC. A prorrogação de uma contratação direta deve ser excepcional e devidamente planejada e motivada, e a somatória de valores da dispensa e da respectiva prorrogação não deve ultrapassar os limites previstos nos incisos I e II do art. 69 (R$ 100.000,00 ou R$50.000,00)</w:t>
            </w:r>
          </w:p>
          <w:p w14:paraId="33E9E9E0" w14:textId="77777777" w:rsidR="00AA1E2D" w:rsidRPr="00071978" w:rsidRDefault="00AA1E2D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2FBDF504" w14:textId="77777777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256D6E99" w14:textId="77777777" w:rsidR="00AA1E2D" w:rsidRPr="00071978" w:rsidRDefault="00AA1E2D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233584DF" w14:textId="77777777" w:rsidTr="00AA1E2D">
        <w:trPr>
          <w:trHeight w:val="540"/>
        </w:trPr>
        <w:tc>
          <w:tcPr>
            <w:tcW w:w="832" w:type="pct"/>
          </w:tcPr>
          <w:p w14:paraId="0B1794B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USSA</w:t>
            </w:r>
          </w:p>
        </w:tc>
        <w:tc>
          <w:tcPr>
            <w:tcW w:w="1335" w:type="pct"/>
          </w:tcPr>
          <w:p w14:paraId="22B20FB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c) Manifestação conclusiva sobre a vantajosidade econômica, através da elaboração da planilha orçamentária com os valores atualizados do SINAPI, aplicando o desconto do contrato.</w:t>
            </w:r>
          </w:p>
        </w:tc>
        <w:tc>
          <w:tcPr>
            <w:tcW w:w="1419" w:type="pct"/>
          </w:tcPr>
          <w:p w14:paraId="2412DA3F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Art. 1º, §2º do Decreto Estadual nº 2.734/22. </w:t>
            </w:r>
          </w:p>
          <w:p w14:paraId="024B5DC9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5992A8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4º do Decreto Estadual nº 2.121/18</w:t>
            </w:r>
          </w:p>
          <w:p w14:paraId="275BF813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8AE7F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155AFD7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5EBA1146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54343A12" w14:textId="77777777" w:rsidTr="00AA1E2D">
        <w:trPr>
          <w:trHeight w:val="1178"/>
        </w:trPr>
        <w:tc>
          <w:tcPr>
            <w:tcW w:w="832" w:type="pct"/>
          </w:tcPr>
          <w:p w14:paraId="57371BB4" w14:textId="0A925FF3" w:rsidR="00427B73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Planejamento</w:t>
            </w:r>
          </w:p>
        </w:tc>
        <w:tc>
          <w:tcPr>
            <w:tcW w:w="1335" w:type="pct"/>
          </w:tcPr>
          <w:p w14:paraId="02B2086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d)   </w:t>
            </w:r>
            <w:r w:rsidR="00C46500" w:rsidRPr="00071978">
              <w:rPr>
                <w:rFonts w:ascii="Times New Roman" w:hAnsi="Times New Roman"/>
                <w:bCs/>
                <w:sz w:val="20"/>
                <w:szCs w:val="20"/>
              </w:rPr>
              <w:t>Atesto da</w:t>
            </w: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 disponibilidade orçamentária </w:t>
            </w:r>
          </w:p>
          <w:p w14:paraId="782EA72C" w14:textId="3AC89BBE" w:rsidR="00C46500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pct"/>
          </w:tcPr>
          <w:p w14:paraId="30D03A92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63C8FB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72222C22" w14:textId="77777777" w:rsidR="00427B73" w:rsidRPr="00071978" w:rsidRDefault="00427B7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Art. 15 do Decreto Estadual nº 2.623/22. </w:t>
            </w:r>
          </w:p>
        </w:tc>
        <w:tc>
          <w:tcPr>
            <w:tcW w:w="1001" w:type="pct"/>
          </w:tcPr>
          <w:p w14:paraId="24040439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4922B987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375D22E9" w14:textId="77777777" w:rsidTr="00AA1E2D">
        <w:trPr>
          <w:trHeight w:val="1113"/>
        </w:trPr>
        <w:tc>
          <w:tcPr>
            <w:tcW w:w="832" w:type="pct"/>
          </w:tcPr>
          <w:p w14:paraId="72A4B00F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Diretor Presidente</w:t>
            </w:r>
          </w:p>
        </w:tc>
        <w:tc>
          <w:tcPr>
            <w:tcW w:w="1335" w:type="pct"/>
          </w:tcPr>
          <w:p w14:paraId="3303226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e) Autoridade competente autoriza adoção</w:t>
            </w: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ab/>
              <w:t>dos procedimentos necessários à formalização do aditivo;</w:t>
            </w:r>
          </w:p>
        </w:tc>
        <w:tc>
          <w:tcPr>
            <w:tcW w:w="1419" w:type="pct"/>
          </w:tcPr>
          <w:p w14:paraId="1A4B2262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72CB17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01E601C2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6FDE1F21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007AE05E" w14:textId="77777777" w:rsidTr="00AA1E2D">
        <w:trPr>
          <w:trHeight w:val="429"/>
        </w:trPr>
        <w:tc>
          <w:tcPr>
            <w:tcW w:w="832" w:type="pct"/>
          </w:tcPr>
          <w:p w14:paraId="0B112109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335" w:type="pct"/>
          </w:tcPr>
          <w:p w14:paraId="5672040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f) Elaboração da minuta do termo aditivo </w:t>
            </w:r>
          </w:p>
          <w:p w14:paraId="2B2D0853" w14:textId="2A305759" w:rsidR="00C46500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g) Consulta regularidade fiscal, trabalhista, previdenciária e CADIN/PA.</w:t>
            </w:r>
          </w:p>
        </w:tc>
        <w:tc>
          <w:tcPr>
            <w:tcW w:w="1419" w:type="pct"/>
          </w:tcPr>
          <w:p w14:paraId="79A51883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pct"/>
          </w:tcPr>
          <w:p w14:paraId="4DAA5AEA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1B6EB0A1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1978" w:rsidRPr="00071978" w14:paraId="0F73043B" w14:textId="77777777" w:rsidTr="00AA1E2D">
        <w:trPr>
          <w:trHeight w:val="431"/>
        </w:trPr>
        <w:tc>
          <w:tcPr>
            <w:tcW w:w="832" w:type="pct"/>
          </w:tcPr>
          <w:p w14:paraId="04FE1B64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PJU</w:t>
            </w:r>
          </w:p>
        </w:tc>
        <w:tc>
          <w:tcPr>
            <w:tcW w:w="1335" w:type="pct"/>
          </w:tcPr>
          <w:p w14:paraId="236D895F" w14:textId="0FC3AA36" w:rsidR="00427B73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427B73" w:rsidRPr="00071978">
              <w:rPr>
                <w:rFonts w:ascii="Times New Roman" w:hAnsi="Times New Roman"/>
                <w:bCs/>
                <w:sz w:val="20"/>
                <w:szCs w:val="20"/>
              </w:rPr>
              <w:t>) Parecer jurídico</w:t>
            </w:r>
          </w:p>
        </w:tc>
        <w:tc>
          <w:tcPr>
            <w:tcW w:w="1419" w:type="pct"/>
          </w:tcPr>
          <w:p w14:paraId="3C3BCFC5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 xml:space="preserve">Art. 7º do RILC. </w:t>
            </w:r>
          </w:p>
        </w:tc>
        <w:tc>
          <w:tcPr>
            <w:tcW w:w="1001" w:type="pct"/>
          </w:tcPr>
          <w:p w14:paraId="5D9E9357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27875FCD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7B73" w:rsidRPr="00071978" w14:paraId="2E47E457" w14:textId="77777777" w:rsidTr="00AA1E2D">
        <w:trPr>
          <w:trHeight w:val="1516"/>
        </w:trPr>
        <w:tc>
          <w:tcPr>
            <w:tcW w:w="832" w:type="pct"/>
          </w:tcPr>
          <w:p w14:paraId="4A760D38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335" w:type="pct"/>
          </w:tcPr>
          <w:p w14:paraId="2DE6099E" w14:textId="347AD107" w:rsidR="00427B73" w:rsidRPr="00071978" w:rsidRDefault="00C4650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427B73" w:rsidRPr="00071978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427B73" w:rsidRPr="00071978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extrato na imprensa oficial, no prazo de 10 (dez) dias, a contar de sua assinatura, com disponibilização no site da Companhia</w:t>
            </w:r>
          </w:p>
        </w:tc>
        <w:tc>
          <w:tcPr>
            <w:tcW w:w="1419" w:type="pct"/>
          </w:tcPr>
          <w:p w14:paraId="6D0BB7EE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759C14E0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978">
              <w:rPr>
                <w:rFonts w:ascii="Times New Roman" w:hAnsi="Times New Roman"/>
                <w:bCs/>
                <w:sz w:val="20"/>
                <w:szCs w:val="20"/>
              </w:rPr>
              <w:t>Art. 130 do RILC</w:t>
            </w:r>
          </w:p>
        </w:tc>
        <w:tc>
          <w:tcPr>
            <w:tcW w:w="1001" w:type="pct"/>
          </w:tcPr>
          <w:p w14:paraId="7FD9D978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3" w:type="pct"/>
          </w:tcPr>
          <w:p w14:paraId="6378D9C9" w14:textId="77777777" w:rsidR="00427B73" w:rsidRPr="00071978" w:rsidRDefault="00427B7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70F9BCC" w14:textId="77777777" w:rsidR="00427B73" w:rsidRPr="00071978" w:rsidRDefault="00427B73" w:rsidP="00427B73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071978" w:rsidRDefault="00E65D98" w:rsidP="00A55CD3"/>
    <w:sectPr w:rsidR="00E65D98" w:rsidRPr="000719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3AB0" w14:textId="77777777" w:rsidR="006449FC" w:rsidRDefault="006449FC" w:rsidP="003F1859">
      <w:pPr>
        <w:spacing w:after="0" w:line="240" w:lineRule="auto"/>
      </w:pPr>
      <w:r>
        <w:separator/>
      </w:r>
    </w:p>
  </w:endnote>
  <w:endnote w:type="continuationSeparator" w:id="0">
    <w:p w14:paraId="6FBC7943" w14:textId="77777777" w:rsidR="006449FC" w:rsidRDefault="006449FC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E7A8" w14:textId="77777777" w:rsidR="006449FC" w:rsidRDefault="006449FC" w:rsidP="003F1859">
      <w:pPr>
        <w:spacing w:after="0" w:line="240" w:lineRule="auto"/>
      </w:pPr>
      <w:r>
        <w:separator/>
      </w:r>
    </w:p>
  </w:footnote>
  <w:footnote w:type="continuationSeparator" w:id="0">
    <w:p w14:paraId="4C66FF8A" w14:textId="77777777" w:rsidR="006449FC" w:rsidRDefault="006449FC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24C"/>
    <w:multiLevelType w:val="hybridMultilevel"/>
    <w:tmpl w:val="59E62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1"/>
  </w:num>
  <w:num w:numId="2" w16cid:durableId="137966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71978"/>
    <w:rsid w:val="000804F8"/>
    <w:rsid w:val="000A51F1"/>
    <w:rsid w:val="00173A80"/>
    <w:rsid w:val="001F7D5D"/>
    <w:rsid w:val="0022555B"/>
    <w:rsid w:val="00252D89"/>
    <w:rsid w:val="0027323A"/>
    <w:rsid w:val="002A465A"/>
    <w:rsid w:val="00315735"/>
    <w:rsid w:val="00370731"/>
    <w:rsid w:val="003801B2"/>
    <w:rsid w:val="003D3298"/>
    <w:rsid w:val="003F1859"/>
    <w:rsid w:val="00427B73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449FC"/>
    <w:rsid w:val="006759BD"/>
    <w:rsid w:val="0067684B"/>
    <w:rsid w:val="006C206C"/>
    <w:rsid w:val="006E7EB8"/>
    <w:rsid w:val="00715563"/>
    <w:rsid w:val="008943A6"/>
    <w:rsid w:val="00952E7F"/>
    <w:rsid w:val="00953BE5"/>
    <w:rsid w:val="009C2C87"/>
    <w:rsid w:val="009D1222"/>
    <w:rsid w:val="00A02C02"/>
    <w:rsid w:val="00A168AC"/>
    <w:rsid w:val="00A55CD3"/>
    <w:rsid w:val="00A86B48"/>
    <w:rsid w:val="00AA1E2D"/>
    <w:rsid w:val="00AC7604"/>
    <w:rsid w:val="00B00D98"/>
    <w:rsid w:val="00B4298A"/>
    <w:rsid w:val="00C10667"/>
    <w:rsid w:val="00C16127"/>
    <w:rsid w:val="00C424AF"/>
    <w:rsid w:val="00C46500"/>
    <w:rsid w:val="00C92CCE"/>
    <w:rsid w:val="00D003D0"/>
    <w:rsid w:val="00D406F4"/>
    <w:rsid w:val="00DB4F93"/>
    <w:rsid w:val="00DE72D1"/>
    <w:rsid w:val="00DF07EE"/>
    <w:rsid w:val="00E56527"/>
    <w:rsid w:val="00E65D98"/>
    <w:rsid w:val="00E97E42"/>
    <w:rsid w:val="00EA44CA"/>
    <w:rsid w:val="00EF66F6"/>
    <w:rsid w:val="00F24C65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7</cp:revision>
  <cp:lastPrinted>2023-03-14T20:12:00Z</cp:lastPrinted>
  <dcterms:created xsi:type="dcterms:W3CDTF">2023-04-24T12:05:00Z</dcterms:created>
  <dcterms:modified xsi:type="dcterms:W3CDTF">2023-05-17T16:43:00Z</dcterms:modified>
</cp:coreProperties>
</file>