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8086" w14:textId="60221DEC" w:rsidR="00EC0B57" w:rsidRDefault="00EC0B57" w:rsidP="00EC0B5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ATA DE REGISTRO DE PREÇOS </w:t>
      </w:r>
      <w:r w:rsidR="005A1023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AF1368">
        <w:rPr>
          <w:rFonts w:ascii="Arial" w:hAnsi="Arial" w:cs="Arial"/>
          <w:b/>
          <w:bCs/>
          <w:sz w:val="24"/>
          <w:szCs w:val="24"/>
          <w:u w:val="single"/>
        </w:rPr>
        <w:t>3</w:t>
      </w:r>
      <w:r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14:paraId="06FF7C29" w14:textId="77777777" w:rsidR="00EC0B57" w:rsidRDefault="00EC0B57" w:rsidP="00EC0B57">
      <w:pPr>
        <w:pStyle w:val="PargrafodaLista"/>
        <w:spacing w:before="120" w:line="360" w:lineRule="auto"/>
        <w:ind w:left="0"/>
        <w:rPr>
          <w:rFonts w:ascii="Calibri" w:hAnsi="Calibri" w:cs="Calibri"/>
          <w:sz w:val="24"/>
          <w:szCs w:val="24"/>
        </w:rPr>
      </w:pPr>
      <w:r w:rsidRPr="000F2236">
        <w:rPr>
          <w:rFonts w:ascii="Calibri" w:hAnsi="Calibri" w:cs="Calibri"/>
          <w:b/>
          <w:bCs/>
          <w:sz w:val="24"/>
          <w:szCs w:val="24"/>
        </w:rPr>
        <w:t>Processo nº</w:t>
      </w:r>
      <w:r>
        <w:rPr>
          <w:rFonts w:ascii="Calibri" w:hAnsi="Calibri" w:cs="Calibri"/>
          <w:b/>
          <w:bCs/>
          <w:sz w:val="24"/>
          <w:szCs w:val="24"/>
        </w:rPr>
        <w:t>:</w:t>
      </w:r>
      <w:r w:rsidRPr="000F223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584196</w:t>
      </w:r>
      <w:r w:rsidRPr="000F2236">
        <w:rPr>
          <w:rFonts w:ascii="Calibri" w:hAnsi="Calibri" w:cs="Calibri"/>
          <w:sz w:val="24"/>
          <w:szCs w:val="24"/>
        </w:rPr>
        <w:t>/201</w:t>
      </w:r>
      <w:r>
        <w:rPr>
          <w:rFonts w:ascii="Calibri" w:hAnsi="Calibri" w:cs="Calibri"/>
          <w:sz w:val="24"/>
          <w:szCs w:val="24"/>
        </w:rPr>
        <w:t>9</w:t>
      </w:r>
    </w:p>
    <w:p w14:paraId="124ADE74" w14:textId="77777777" w:rsidR="00EC0B57" w:rsidRPr="000F2236" w:rsidRDefault="00EC0B57" w:rsidP="00EC0B57">
      <w:pPr>
        <w:pStyle w:val="PargrafodaLista"/>
        <w:spacing w:before="120" w:line="360" w:lineRule="auto"/>
        <w:ind w:left="0"/>
        <w:rPr>
          <w:rFonts w:ascii="Calibri" w:hAnsi="Calibri" w:cs="Calibri"/>
          <w:sz w:val="24"/>
          <w:szCs w:val="24"/>
        </w:rPr>
      </w:pPr>
      <w:r w:rsidRPr="000F2236">
        <w:rPr>
          <w:rFonts w:ascii="Calibri" w:hAnsi="Calibri" w:cs="Calibri"/>
          <w:b/>
          <w:bCs/>
          <w:sz w:val="24"/>
          <w:szCs w:val="24"/>
        </w:rPr>
        <w:t>Pregão</w:t>
      </w:r>
      <w:r w:rsidRPr="000F2236">
        <w:rPr>
          <w:rFonts w:ascii="Calibri" w:hAnsi="Calibri" w:cs="Calibri"/>
          <w:sz w:val="24"/>
          <w:szCs w:val="24"/>
        </w:rPr>
        <w:t xml:space="preserve"> </w:t>
      </w:r>
      <w:r w:rsidRPr="000F2236">
        <w:rPr>
          <w:rFonts w:ascii="Calibri" w:hAnsi="Calibri" w:cs="Calibri"/>
          <w:b/>
          <w:bCs/>
          <w:sz w:val="24"/>
          <w:szCs w:val="24"/>
        </w:rPr>
        <w:t>Eletrônico</w:t>
      </w:r>
      <w:r>
        <w:rPr>
          <w:rFonts w:ascii="Calibri" w:hAnsi="Calibri" w:cs="Calibri"/>
          <w:b/>
          <w:bCs/>
          <w:sz w:val="24"/>
          <w:szCs w:val="24"/>
        </w:rPr>
        <w:t xml:space="preserve"> SRP</w:t>
      </w:r>
      <w:r w:rsidRPr="000F2236">
        <w:rPr>
          <w:rFonts w:ascii="Calibri" w:hAnsi="Calibri" w:cs="Calibri"/>
          <w:b/>
          <w:bCs/>
          <w:sz w:val="24"/>
          <w:szCs w:val="24"/>
        </w:rPr>
        <w:t xml:space="preserve"> nº</w:t>
      </w:r>
      <w:r>
        <w:rPr>
          <w:rFonts w:ascii="Calibri" w:hAnsi="Calibri" w:cs="Calibri"/>
          <w:b/>
          <w:bCs/>
          <w:sz w:val="24"/>
          <w:szCs w:val="24"/>
        </w:rPr>
        <w:t>:</w:t>
      </w:r>
      <w:r w:rsidRPr="000F223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28</w:t>
      </w:r>
      <w:r w:rsidRPr="000F2236">
        <w:rPr>
          <w:rFonts w:ascii="Calibri" w:hAnsi="Calibri" w:cs="Calibri"/>
          <w:sz w:val="24"/>
          <w:szCs w:val="24"/>
        </w:rPr>
        <w:t xml:space="preserve">/2019 </w:t>
      </w:r>
    </w:p>
    <w:p w14:paraId="5D44CC66" w14:textId="77777777" w:rsidR="00EC0B57" w:rsidRDefault="00EC0B57" w:rsidP="00EC0B57">
      <w:pPr>
        <w:pStyle w:val="PargrafodaLista"/>
        <w:spacing w:before="120" w:line="360" w:lineRule="auto"/>
        <w:ind w:left="0"/>
        <w:rPr>
          <w:rFonts w:ascii="Calibri" w:hAnsi="Calibri" w:cs="Calibri"/>
          <w:sz w:val="24"/>
          <w:szCs w:val="24"/>
        </w:rPr>
      </w:pPr>
      <w:r w:rsidRPr="000F2236">
        <w:rPr>
          <w:rFonts w:ascii="Calibri" w:hAnsi="Calibri" w:cs="Calibri"/>
          <w:sz w:val="24"/>
          <w:szCs w:val="24"/>
        </w:rPr>
        <w:t xml:space="preserve"> </w:t>
      </w:r>
    </w:p>
    <w:p w14:paraId="3362511A" w14:textId="77777777" w:rsidR="00EC0B57" w:rsidRPr="00BF332B" w:rsidRDefault="00EC0B57" w:rsidP="00EC0B57">
      <w:pPr>
        <w:pStyle w:val="PargrafodaLista"/>
        <w:spacing w:before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F332B">
        <w:rPr>
          <w:rFonts w:ascii="Calibri" w:hAnsi="Calibri" w:cs="Calibri"/>
          <w:b/>
          <w:bCs/>
          <w:sz w:val="24"/>
          <w:szCs w:val="24"/>
        </w:rPr>
        <w:t>Objeto</w:t>
      </w:r>
      <w:r>
        <w:rPr>
          <w:rFonts w:ascii="Calibri" w:hAnsi="Calibri" w:cs="Calibri"/>
          <w:sz w:val="24"/>
          <w:szCs w:val="24"/>
        </w:rPr>
        <w:t>:</w:t>
      </w:r>
      <w:r w:rsidRPr="000F2236">
        <w:rPr>
          <w:rFonts w:ascii="Calibri" w:hAnsi="Calibri" w:cs="Calibri"/>
          <w:sz w:val="24"/>
          <w:szCs w:val="24"/>
        </w:rPr>
        <w:t xml:space="preserve"> </w:t>
      </w:r>
      <w:r w:rsidRPr="00BF332B">
        <w:rPr>
          <w:rFonts w:asciiTheme="minorHAnsi" w:hAnsiTheme="minorHAnsi" w:cstheme="minorHAnsi"/>
          <w:sz w:val="24"/>
          <w:szCs w:val="24"/>
        </w:rPr>
        <w:t>AQUISIÇÃO DE BENS MÓVEIS (MOBILIÁRIOS), PARA SUPRIR AS NECESSIDADES DOS SETORES E UNIDADES DA COSANPA, LOCALIZADOS NO MUNICÍPIO DE BELÉM, ANANINDEUA E MARITUBA</w:t>
      </w:r>
    </w:p>
    <w:p w14:paraId="4918831B" w14:textId="08D64C2B" w:rsidR="00EC0B57" w:rsidRPr="00BB343E" w:rsidRDefault="00EC0B57" w:rsidP="00EC0B57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B343E">
        <w:rPr>
          <w:rFonts w:asciiTheme="minorHAnsi" w:hAnsiTheme="minorHAnsi" w:cstheme="minorHAnsi"/>
          <w:sz w:val="24"/>
          <w:szCs w:val="24"/>
        </w:rPr>
        <w:t>Aos dias</w:t>
      </w:r>
      <w:r>
        <w:rPr>
          <w:rFonts w:asciiTheme="minorHAnsi" w:hAnsiTheme="minorHAnsi" w:cstheme="minorHAnsi"/>
          <w:sz w:val="24"/>
          <w:szCs w:val="24"/>
        </w:rPr>
        <w:t xml:space="preserve"> 31 </w:t>
      </w:r>
      <w:r w:rsidRPr="00BB343E">
        <w:rPr>
          <w:rFonts w:asciiTheme="minorHAnsi" w:hAnsiTheme="minorHAnsi" w:cstheme="minorHAnsi"/>
          <w:sz w:val="24"/>
          <w:szCs w:val="24"/>
        </w:rPr>
        <w:t xml:space="preserve">do mês de  </w:t>
      </w:r>
      <w:r>
        <w:rPr>
          <w:rFonts w:asciiTheme="minorHAnsi" w:hAnsiTheme="minorHAnsi" w:cstheme="minorHAnsi"/>
          <w:sz w:val="24"/>
          <w:szCs w:val="24"/>
        </w:rPr>
        <w:t>Março</w:t>
      </w:r>
      <w:r w:rsidRPr="00BB343E">
        <w:rPr>
          <w:rFonts w:asciiTheme="minorHAnsi" w:hAnsiTheme="minorHAnsi" w:cstheme="minorHAnsi"/>
          <w:sz w:val="24"/>
          <w:szCs w:val="24"/>
        </w:rPr>
        <w:t xml:space="preserve"> de 20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BB343E">
        <w:rPr>
          <w:rFonts w:asciiTheme="minorHAnsi" w:hAnsiTheme="minorHAnsi" w:cstheme="minorHAnsi"/>
          <w:sz w:val="24"/>
          <w:szCs w:val="24"/>
        </w:rPr>
        <w:t xml:space="preserve">, a </w:t>
      </w:r>
      <w:r w:rsidRPr="00BB343E">
        <w:rPr>
          <w:rFonts w:asciiTheme="minorHAnsi" w:eastAsia="Arial" w:hAnsiTheme="minorHAnsi" w:cstheme="minorHAnsi"/>
          <w:b/>
          <w:sz w:val="24"/>
          <w:szCs w:val="24"/>
        </w:rPr>
        <w:t xml:space="preserve">COMPANHIA DE </w:t>
      </w:r>
      <w:bookmarkStart w:id="0" w:name="_GoBack"/>
      <w:bookmarkEnd w:id="0"/>
      <w:r w:rsidRPr="00BB343E">
        <w:rPr>
          <w:rFonts w:asciiTheme="minorHAnsi" w:eastAsia="Arial" w:hAnsiTheme="minorHAnsi" w:cstheme="minorHAnsi"/>
          <w:b/>
          <w:sz w:val="24"/>
          <w:szCs w:val="24"/>
        </w:rPr>
        <w:t>SANEAMENTO DO PARÁ -</w:t>
      </w:r>
      <w:r w:rsidRPr="00BB343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B343E">
        <w:rPr>
          <w:rFonts w:asciiTheme="minorHAnsi" w:eastAsia="Arial" w:hAnsiTheme="minorHAnsi" w:cstheme="minorHAnsi"/>
          <w:b/>
          <w:sz w:val="24"/>
          <w:szCs w:val="24"/>
        </w:rPr>
        <w:t xml:space="preserve">COSANPA, </w:t>
      </w:r>
      <w:r w:rsidRPr="00BB343E">
        <w:rPr>
          <w:rFonts w:asciiTheme="minorHAnsi" w:eastAsia="Arial" w:hAnsiTheme="minorHAnsi" w:cstheme="minorHAnsi"/>
          <w:sz w:val="24"/>
          <w:szCs w:val="24"/>
        </w:rPr>
        <w:t>Sociedade de Economia Mista Estadual por ações, pessoa jurídica de direito privado, inscrita</w:t>
      </w:r>
      <w:r w:rsidRPr="00BB343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BB343E">
        <w:rPr>
          <w:rFonts w:asciiTheme="minorHAnsi" w:eastAsia="Arial" w:hAnsiTheme="minorHAnsi" w:cstheme="minorHAnsi"/>
          <w:sz w:val="24"/>
          <w:szCs w:val="24"/>
        </w:rPr>
        <w:t>no CNPJ/MF sob o n</w:t>
      </w:r>
      <w:r w:rsidRPr="00BB343E">
        <w:rPr>
          <w:rFonts w:asciiTheme="minorHAnsi" w:eastAsia="Arial" w:hAnsiTheme="minorHAnsi" w:cstheme="minorHAnsi"/>
          <w:sz w:val="24"/>
          <w:szCs w:val="24"/>
          <w:u w:val="single"/>
          <w:vertAlign w:val="superscript"/>
        </w:rPr>
        <w:t>o</w:t>
      </w:r>
      <w:r w:rsidRPr="00BB343E">
        <w:rPr>
          <w:rFonts w:asciiTheme="minorHAnsi" w:eastAsia="Arial" w:hAnsiTheme="minorHAnsi" w:cstheme="minorHAnsi"/>
          <w:sz w:val="24"/>
          <w:szCs w:val="24"/>
        </w:rPr>
        <w:t xml:space="preserve"> 04.945.341/0001-90 e com sede na Avenida Magalhães Barata nº 1201, bairro São Brás, Belém - Pará</w:t>
      </w:r>
      <w:r w:rsidRPr="00BB343E">
        <w:rPr>
          <w:rFonts w:asciiTheme="minorHAnsi" w:hAnsiTheme="minorHAnsi" w:cstheme="minorHAnsi"/>
          <w:sz w:val="24"/>
          <w:szCs w:val="24"/>
        </w:rPr>
        <w:t>, neste ato representado por seu Presidente</w:t>
      </w:r>
      <w:r w:rsidRPr="00BB343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B343E">
        <w:rPr>
          <w:rFonts w:asciiTheme="minorHAnsi" w:eastAsia="Arial" w:hAnsiTheme="minorHAnsi" w:cstheme="minorHAnsi"/>
          <w:b/>
          <w:bCs/>
          <w:sz w:val="24"/>
          <w:szCs w:val="24"/>
        </w:rPr>
        <w:t>Sr.</w:t>
      </w:r>
      <w:r w:rsidRPr="00BB343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B343E">
        <w:rPr>
          <w:rFonts w:asciiTheme="minorHAnsi" w:eastAsia="Arial" w:hAnsiTheme="minorHAnsi" w:cstheme="minorHAnsi"/>
          <w:b/>
          <w:sz w:val="24"/>
          <w:szCs w:val="24"/>
        </w:rPr>
        <w:t>José Antônio De Angelis</w:t>
      </w:r>
      <w:r w:rsidRPr="00BB343E">
        <w:rPr>
          <w:rFonts w:asciiTheme="minorHAnsi" w:hAnsiTheme="minorHAnsi" w:cstheme="minorHAnsi"/>
          <w:sz w:val="24"/>
          <w:szCs w:val="24"/>
        </w:rPr>
        <w:t>, brasileiro, Engenheiro Civil ,  RG nº. 7666320-6 SSP/SP, inscrito no CPF/MF sob o n.º 004.229.988-85, residente e domiciliado na cidade Belém-Pará, no final assinado, resolve licitar para AQUISIÇÃO DE BENS MÓVEIS (MOBILIÁRIOS), PARA SUPRIR AS NECESSIDADES DOS SETORES E UNIDADES DA COSANPA, LOCALIZADOS NO MUNICÍPIO DE BELÉM, ANANINDEUA E MARITUBA</w:t>
      </w:r>
    </w:p>
    <w:p w14:paraId="4C6A7F58" w14:textId="77777777" w:rsidR="00EC0B57" w:rsidRDefault="00EC0B57" w:rsidP="00EC0B57">
      <w:pPr>
        <w:pStyle w:val="PargrafodaLista"/>
        <w:spacing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BB343E">
        <w:rPr>
          <w:rFonts w:asciiTheme="minorHAnsi" w:hAnsiTheme="minorHAnsi" w:cstheme="minorHAnsi"/>
          <w:sz w:val="24"/>
          <w:szCs w:val="24"/>
        </w:rPr>
        <w:t xml:space="preserve">tendo em vista a classificação das propostas das empresas no Pregão Eletrônico nº </w:t>
      </w:r>
      <w:r>
        <w:rPr>
          <w:rFonts w:asciiTheme="minorHAnsi" w:hAnsiTheme="minorHAnsi" w:cstheme="minorHAnsi"/>
          <w:sz w:val="24"/>
          <w:szCs w:val="24"/>
        </w:rPr>
        <w:t>28</w:t>
      </w:r>
      <w:r w:rsidRPr="00BB343E">
        <w:rPr>
          <w:rFonts w:asciiTheme="minorHAnsi" w:hAnsiTheme="minorHAnsi" w:cstheme="minorHAnsi"/>
          <w:sz w:val="24"/>
          <w:szCs w:val="24"/>
        </w:rPr>
        <w:t xml:space="preserve">/2019, devidamente qualificadas na cláusula segunda desta ata e no final assinados, conforme consta dos autos do Processo nº </w:t>
      </w:r>
      <w:r>
        <w:rPr>
          <w:rFonts w:asciiTheme="minorHAnsi" w:hAnsiTheme="minorHAnsi" w:cstheme="minorHAnsi"/>
          <w:sz w:val="24"/>
          <w:szCs w:val="24"/>
        </w:rPr>
        <w:t>584196</w:t>
      </w:r>
      <w:r w:rsidRPr="00BB343E">
        <w:rPr>
          <w:rFonts w:asciiTheme="minorHAnsi" w:hAnsiTheme="minorHAnsi" w:cstheme="minorHAnsi"/>
          <w:sz w:val="24"/>
          <w:szCs w:val="24"/>
        </w:rPr>
        <w:t>/201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BB343E">
        <w:rPr>
          <w:rFonts w:asciiTheme="minorHAnsi" w:hAnsiTheme="minorHAnsi" w:cstheme="minorHAnsi"/>
          <w:sz w:val="24"/>
          <w:szCs w:val="24"/>
        </w:rPr>
        <w:t xml:space="preserve">. A presente Ata de Registro de Preços, a qual constitui-se em documento vinculativo e obrigacional às partes, de acordo com a Lei nº 10.520/2002, pela Lei Estadual n° 6.474/2002, </w:t>
      </w:r>
      <w:r>
        <w:rPr>
          <w:rFonts w:asciiTheme="minorHAnsi" w:hAnsiTheme="minorHAnsi" w:cstheme="minorHAnsi"/>
          <w:sz w:val="24"/>
          <w:szCs w:val="24"/>
        </w:rPr>
        <w:t>Decreto Estadual 2.121/2018</w:t>
      </w:r>
      <w:r w:rsidRPr="00BB343E">
        <w:rPr>
          <w:rFonts w:asciiTheme="minorHAnsi" w:hAnsiTheme="minorHAnsi" w:cstheme="minorHAnsi"/>
          <w:sz w:val="24"/>
          <w:szCs w:val="24"/>
        </w:rPr>
        <w:t xml:space="preserve"> e pela Lei Complementar nº 123/2006, de acordo com as cláusulas e condições seguintes:</w:t>
      </w:r>
    </w:p>
    <w:p w14:paraId="3337DD46" w14:textId="77777777" w:rsidR="00EC0B57" w:rsidRPr="00BB343E" w:rsidRDefault="00EC0B57" w:rsidP="00EC0B57">
      <w:pPr>
        <w:pStyle w:val="PargrafodaLista"/>
        <w:spacing w:line="360" w:lineRule="auto"/>
        <w:ind w:left="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BB343E">
        <w:rPr>
          <w:rFonts w:asciiTheme="minorHAnsi" w:hAnsiTheme="minorHAnsi" w:cstheme="minorHAnsi"/>
          <w:b/>
          <w:bCs/>
          <w:sz w:val="24"/>
          <w:szCs w:val="24"/>
        </w:rPr>
        <w:t xml:space="preserve">1 - OBJETO   </w:t>
      </w:r>
    </w:p>
    <w:p w14:paraId="0130A225" w14:textId="77777777" w:rsidR="00EC0B57" w:rsidRDefault="00EC0B57" w:rsidP="00EC0B57">
      <w:pPr>
        <w:pStyle w:val="PargrafodaLista"/>
        <w:spacing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BB343E">
        <w:rPr>
          <w:rFonts w:asciiTheme="minorHAnsi" w:hAnsiTheme="minorHAnsi" w:cstheme="minorHAnsi"/>
          <w:sz w:val="24"/>
          <w:szCs w:val="24"/>
        </w:rPr>
        <w:t>1.1 - A presente Ata de Registro de Preços estabelece as cláusulas e condições gerais para o AQUISIÇÃO DE BENS MÓVEIS (MOBILIÁRIOS), PARA SUPRIR AS NECESSIDADES DOS SETORES E UNIDADES DA COSANPA, LOCALIZADOS NO MUNICÍPIO DE BELÉM, ANANINDEUA E MARITUBA cujos preços foram previamente definidos através do procedimento licitatório supracitado.</w:t>
      </w:r>
    </w:p>
    <w:p w14:paraId="206B2A14" w14:textId="77777777" w:rsidR="00EC0B57" w:rsidRDefault="00EC0B57" w:rsidP="00EC0B57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F62ECAF" w14:textId="77777777" w:rsidR="00EC0B57" w:rsidRDefault="00EC0B57" w:rsidP="00EC0B57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483D8A4" w14:textId="77777777" w:rsidR="00EC0B57" w:rsidRDefault="00EC0B57" w:rsidP="00EC0B57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CF1D8CD" w14:textId="77777777" w:rsidR="00EC0B57" w:rsidRDefault="00EC0B57" w:rsidP="00EC0B57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C8B07FC" w14:textId="77777777" w:rsidR="00EC0B57" w:rsidRDefault="00EC0B57" w:rsidP="00EC0B57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0A9257C" w14:textId="0516F393" w:rsidR="00EC0B57" w:rsidRPr="00FA5914" w:rsidRDefault="00EC0B57" w:rsidP="00EC0B57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A5914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2 – SIGNATÁRIO DA ATA DE REGISTRO DE PREÇOS </w:t>
      </w:r>
    </w:p>
    <w:p w14:paraId="740FBE77" w14:textId="77777777" w:rsidR="00EC0B57" w:rsidRPr="00C779EC" w:rsidRDefault="00EC0B57" w:rsidP="00EC0B57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A5914">
        <w:rPr>
          <w:rFonts w:asciiTheme="minorHAnsi" w:hAnsiTheme="minorHAnsi" w:cstheme="minorHAnsi"/>
          <w:sz w:val="24"/>
          <w:szCs w:val="24"/>
        </w:rPr>
        <w:t xml:space="preserve"> 2.1 – </w:t>
      </w:r>
      <w:r w:rsidRPr="00C779EC">
        <w:rPr>
          <w:rFonts w:asciiTheme="minorHAnsi" w:hAnsiTheme="minorHAnsi" w:cstheme="minorHAnsi"/>
          <w:sz w:val="24"/>
          <w:szCs w:val="24"/>
        </w:rPr>
        <w:t xml:space="preserve">É signatário da presente ata a empresa abaixo qualificada:  </w:t>
      </w:r>
    </w:p>
    <w:p w14:paraId="1B0AD2D2" w14:textId="08BEB6A1" w:rsidR="00EC0B57" w:rsidRPr="00C779EC" w:rsidRDefault="00EC0B57" w:rsidP="00EC0B5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779EC">
        <w:rPr>
          <w:rFonts w:asciiTheme="minorHAnsi" w:hAnsiTheme="minorHAnsi" w:cstheme="minorHAnsi"/>
          <w:sz w:val="24"/>
          <w:szCs w:val="24"/>
        </w:rPr>
        <w:t xml:space="preserve"> Empresa: </w:t>
      </w:r>
      <w:r w:rsidR="006240D8">
        <w:rPr>
          <w:rFonts w:asciiTheme="minorHAnsi" w:hAnsiTheme="minorHAnsi" w:cstheme="minorHAnsi"/>
          <w:sz w:val="24"/>
          <w:szCs w:val="24"/>
        </w:rPr>
        <w:t>Carlos Navarro &amp; CIA LTDA - EPP</w:t>
      </w:r>
    </w:p>
    <w:p w14:paraId="09467D69" w14:textId="5062CCAF" w:rsidR="00EC0B57" w:rsidRPr="00C779EC" w:rsidRDefault="00EC0B57" w:rsidP="00EC0B5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779EC">
        <w:rPr>
          <w:rFonts w:asciiTheme="minorHAnsi" w:hAnsiTheme="minorHAnsi" w:cstheme="minorHAnsi"/>
          <w:sz w:val="24"/>
          <w:szCs w:val="24"/>
        </w:rPr>
        <w:t xml:space="preserve"> CNPJ:  </w:t>
      </w:r>
      <w:r w:rsidR="006240D8">
        <w:rPr>
          <w:rFonts w:asciiTheme="minorHAnsi" w:hAnsiTheme="minorHAnsi" w:cstheme="minorHAnsi"/>
          <w:sz w:val="24"/>
          <w:szCs w:val="24"/>
        </w:rPr>
        <w:t>05.881.752/0001-22</w:t>
      </w:r>
    </w:p>
    <w:p w14:paraId="7045E4AE" w14:textId="5540D34D" w:rsidR="00EC0B57" w:rsidRPr="00C779EC" w:rsidRDefault="00EC0B57" w:rsidP="00EC0B5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779EC">
        <w:rPr>
          <w:rFonts w:asciiTheme="minorHAnsi" w:hAnsiTheme="minorHAnsi" w:cstheme="minorHAnsi"/>
          <w:sz w:val="24"/>
          <w:szCs w:val="24"/>
        </w:rPr>
        <w:t xml:space="preserve">Endereço:  </w:t>
      </w:r>
      <w:r w:rsidR="006240D8">
        <w:rPr>
          <w:rFonts w:asciiTheme="minorHAnsi" w:hAnsiTheme="minorHAnsi" w:cstheme="minorHAnsi"/>
          <w:sz w:val="24"/>
          <w:szCs w:val="24"/>
        </w:rPr>
        <w:t>Rua Dom Pedro I, Nº 1000-B, Bairro do Umarizal, Cidade de Belém, Estado do Pará</w:t>
      </w:r>
    </w:p>
    <w:p w14:paraId="4462E89D" w14:textId="4234B7D1" w:rsidR="00EC0B57" w:rsidRPr="00C779EC" w:rsidRDefault="00EC0B57" w:rsidP="00EC0B5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779EC">
        <w:rPr>
          <w:rFonts w:asciiTheme="minorHAnsi" w:hAnsiTheme="minorHAnsi" w:cstheme="minorHAnsi"/>
          <w:sz w:val="24"/>
          <w:szCs w:val="24"/>
        </w:rPr>
        <w:t>Representante Legal</w:t>
      </w:r>
      <w:r w:rsidR="00820ECD">
        <w:rPr>
          <w:rFonts w:asciiTheme="minorHAnsi" w:hAnsiTheme="minorHAnsi" w:cstheme="minorHAnsi"/>
          <w:sz w:val="24"/>
          <w:szCs w:val="24"/>
        </w:rPr>
        <w:t>:</w:t>
      </w:r>
      <w:r w:rsidRPr="00C779EC">
        <w:rPr>
          <w:rFonts w:asciiTheme="minorHAnsi" w:hAnsiTheme="minorHAnsi" w:cstheme="minorHAnsi"/>
          <w:sz w:val="24"/>
          <w:szCs w:val="24"/>
        </w:rPr>
        <w:t xml:space="preserve">  </w:t>
      </w:r>
      <w:r w:rsidR="006240D8">
        <w:rPr>
          <w:rFonts w:asciiTheme="minorHAnsi" w:hAnsiTheme="minorHAnsi" w:cstheme="minorHAnsi"/>
          <w:sz w:val="24"/>
          <w:szCs w:val="24"/>
        </w:rPr>
        <w:t>Carlos Alberto Navarro Júnior</w:t>
      </w:r>
    </w:p>
    <w:p w14:paraId="21829D30" w14:textId="01BD19D8" w:rsidR="00EC0B57" w:rsidRPr="00C779EC" w:rsidRDefault="00EC0B57" w:rsidP="00C779E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08" w:hanging="708"/>
        <w:rPr>
          <w:rFonts w:asciiTheme="minorHAnsi" w:hAnsiTheme="minorHAnsi" w:cstheme="minorHAnsi"/>
          <w:sz w:val="24"/>
          <w:szCs w:val="24"/>
        </w:rPr>
      </w:pPr>
      <w:r w:rsidRPr="00C779EC">
        <w:rPr>
          <w:rFonts w:asciiTheme="minorHAnsi" w:hAnsiTheme="minorHAnsi" w:cstheme="minorHAnsi"/>
          <w:sz w:val="24"/>
          <w:szCs w:val="24"/>
        </w:rPr>
        <w:t xml:space="preserve">Cargo: </w:t>
      </w:r>
      <w:r w:rsidR="00326C3A">
        <w:rPr>
          <w:rFonts w:asciiTheme="minorHAnsi" w:hAnsiTheme="minorHAnsi" w:cstheme="minorHAnsi"/>
          <w:sz w:val="24"/>
          <w:szCs w:val="24"/>
        </w:rPr>
        <w:t>Diretor</w:t>
      </w:r>
      <w:r w:rsidRPr="00C779EC">
        <w:rPr>
          <w:rFonts w:asciiTheme="minorHAnsi" w:hAnsiTheme="minorHAnsi" w:cstheme="minorHAnsi"/>
          <w:sz w:val="24"/>
          <w:szCs w:val="24"/>
        </w:rPr>
        <w:tab/>
      </w:r>
      <w:r w:rsidRPr="00C779EC">
        <w:rPr>
          <w:rFonts w:asciiTheme="minorHAnsi" w:hAnsiTheme="minorHAnsi" w:cstheme="minorHAnsi"/>
          <w:sz w:val="24"/>
          <w:szCs w:val="24"/>
        </w:rPr>
        <w:tab/>
        <w:t xml:space="preserve">Telefone: </w:t>
      </w:r>
      <w:r w:rsidR="00326C3A">
        <w:rPr>
          <w:rFonts w:asciiTheme="minorHAnsi" w:hAnsiTheme="minorHAnsi" w:cstheme="minorHAnsi"/>
          <w:sz w:val="24"/>
          <w:szCs w:val="24"/>
        </w:rPr>
        <w:t>(</w:t>
      </w:r>
      <w:r w:rsidR="006240D8">
        <w:rPr>
          <w:rFonts w:asciiTheme="minorHAnsi" w:hAnsiTheme="minorHAnsi" w:cstheme="minorHAnsi"/>
          <w:sz w:val="24"/>
          <w:szCs w:val="24"/>
        </w:rPr>
        <w:t>91</w:t>
      </w:r>
      <w:r w:rsidR="00326C3A">
        <w:rPr>
          <w:rFonts w:asciiTheme="minorHAnsi" w:hAnsiTheme="minorHAnsi" w:cstheme="minorHAnsi"/>
          <w:sz w:val="24"/>
          <w:szCs w:val="24"/>
        </w:rPr>
        <w:t xml:space="preserve">) </w:t>
      </w:r>
      <w:r w:rsidR="006240D8">
        <w:rPr>
          <w:rFonts w:asciiTheme="minorHAnsi" w:hAnsiTheme="minorHAnsi" w:cstheme="minorHAnsi"/>
          <w:sz w:val="24"/>
          <w:szCs w:val="24"/>
        </w:rPr>
        <w:t>3242-2569</w:t>
      </w:r>
      <w:r w:rsidRPr="00C779EC">
        <w:rPr>
          <w:rFonts w:asciiTheme="minorHAnsi" w:hAnsiTheme="minorHAnsi" w:cstheme="minorHAnsi"/>
          <w:sz w:val="24"/>
          <w:szCs w:val="24"/>
        </w:rPr>
        <w:tab/>
        <w:t xml:space="preserve">RG:  </w:t>
      </w:r>
      <w:r w:rsidR="006240D8">
        <w:rPr>
          <w:rFonts w:asciiTheme="minorHAnsi" w:hAnsiTheme="minorHAnsi" w:cstheme="minorHAnsi"/>
          <w:sz w:val="24"/>
          <w:szCs w:val="24"/>
        </w:rPr>
        <w:t>1382439</w:t>
      </w:r>
      <w:r w:rsidR="00C779EC" w:rsidRPr="00C779EC">
        <w:rPr>
          <w:rFonts w:asciiTheme="minorHAnsi" w:hAnsiTheme="minorHAnsi" w:cstheme="minorHAnsi"/>
          <w:sz w:val="24"/>
          <w:szCs w:val="24"/>
        </w:rPr>
        <w:t xml:space="preserve"> </w:t>
      </w:r>
      <w:r w:rsidR="006240D8">
        <w:rPr>
          <w:rFonts w:asciiTheme="minorHAnsi" w:hAnsiTheme="minorHAnsi" w:cstheme="minorHAnsi"/>
          <w:sz w:val="24"/>
          <w:szCs w:val="24"/>
        </w:rPr>
        <w:t>SSP</w:t>
      </w:r>
      <w:r w:rsidR="00326C3A">
        <w:rPr>
          <w:rFonts w:asciiTheme="minorHAnsi" w:hAnsiTheme="minorHAnsi" w:cstheme="minorHAnsi"/>
          <w:sz w:val="24"/>
          <w:szCs w:val="24"/>
        </w:rPr>
        <w:t>/P</w:t>
      </w:r>
      <w:r w:rsidR="006240D8">
        <w:rPr>
          <w:rFonts w:asciiTheme="minorHAnsi" w:hAnsiTheme="minorHAnsi" w:cstheme="minorHAnsi"/>
          <w:sz w:val="24"/>
          <w:szCs w:val="24"/>
        </w:rPr>
        <w:t>A</w:t>
      </w:r>
      <w:r w:rsidR="00C779EC">
        <w:rPr>
          <w:rFonts w:asciiTheme="minorHAnsi" w:hAnsiTheme="minorHAnsi" w:cstheme="minorHAnsi"/>
          <w:sz w:val="24"/>
          <w:szCs w:val="24"/>
        </w:rPr>
        <w:t xml:space="preserve">    </w:t>
      </w:r>
      <w:r w:rsidRPr="00C779EC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7" w:history="1">
        <w:r w:rsidR="00A2027B" w:rsidRPr="00406FF8">
          <w:rPr>
            <w:rStyle w:val="Hyperlink"/>
            <w:rFonts w:asciiTheme="minorHAnsi" w:hAnsiTheme="minorHAnsi" w:cstheme="minorHAnsi"/>
            <w:sz w:val="24"/>
            <w:szCs w:val="24"/>
          </w:rPr>
          <w:t>adm02@artmil.com.br</w:t>
        </w:r>
      </w:hyperlink>
      <w:r w:rsidR="00A2027B">
        <w:rPr>
          <w:rFonts w:asciiTheme="minorHAnsi" w:hAnsiTheme="minorHAnsi" w:cstheme="minorHAnsi"/>
          <w:sz w:val="24"/>
          <w:szCs w:val="24"/>
        </w:rPr>
        <w:t xml:space="preserve"> / </w:t>
      </w:r>
      <w:hyperlink r:id="rId8" w:history="1">
        <w:r w:rsidR="00A2027B" w:rsidRPr="00406FF8">
          <w:rPr>
            <w:rStyle w:val="Hyperlink"/>
            <w:rFonts w:asciiTheme="minorHAnsi" w:hAnsiTheme="minorHAnsi" w:cstheme="minorHAnsi"/>
            <w:sz w:val="24"/>
            <w:szCs w:val="24"/>
          </w:rPr>
          <w:t>carlosnavarro@artmil.com.br</w:t>
        </w:r>
      </w:hyperlink>
      <w:r w:rsidR="00A2027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D4FF39" w14:textId="6354E5F0" w:rsidR="00EC0B57" w:rsidRPr="00C779EC" w:rsidRDefault="00EC0B57" w:rsidP="00EC0B5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779EC">
        <w:rPr>
          <w:rFonts w:asciiTheme="minorHAnsi" w:hAnsiTheme="minorHAnsi" w:cstheme="minorHAnsi"/>
          <w:sz w:val="24"/>
          <w:szCs w:val="24"/>
        </w:rPr>
        <w:t>CPF:</w:t>
      </w:r>
      <w:r w:rsidR="00C779EC" w:rsidRPr="00C779EC">
        <w:rPr>
          <w:rFonts w:asciiTheme="minorHAnsi" w:hAnsiTheme="minorHAnsi" w:cstheme="minorHAnsi"/>
          <w:sz w:val="24"/>
          <w:szCs w:val="24"/>
        </w:rPr>
        <w:t xml:space="preserve"> </w:t>
      </w:r>
      <w:r w:rsidR="00A2027B">
        <w:rPr>
          <w:rFonts w:asciiTheme="minorHAnsi" w:hAnsiTheme="minorHAnsi" w:cstheme="minorHAnsi"/>
          <w:sz w:val="24"/>
          <w:szCs w:val="24"/>
        </w:rPr>
        <w:t>249.530.832-53</w:t>
      </w:r>
      <w:r w:rsidR="00C779EC" w:rsidRPr="00C779EC">
        <w:rPr>
          <w:rFonts w:asciiTheme="minorHAnsi" w:hAnsiTheme="minorHAnsi" w:cstheme="minorHAnsi"/>
          <w:sz w:val="24"/>
          <w:szCs w:val="24"/>
        </w:rPr>
        <w:tab/>
      </w:r>
    </w:p>
    <w:p w14:paraId="484FFDCE" w14:textId="77777777" w:rsidR="00EC0B57" w:rsidRPr="001115AF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="Calibri" w:hAnsi="Calibri" w:cs="Calibri"/>
          <w:sz w:val="24"/>
          <w:szCs w:val="24"/>
        </w:rPr>
      </w:pPr>
    </w:p>
    <w:p w14:paraId="3FC8A858" w14:textId="77777777" w:rsidR="00EC0B57" w:rsidRPr="008D0E90" w:rsidRDefault="00EC0B57" w:rsidP="00EC0B57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8D0E90">
        <w:rPr>
          <w:rFonts w:ascii="Calibri" w:hAnsi="Calibri" w:cs="Calibri"/>
          <w:b/>
          <w:bCs/>
          <w:sz w:val="24"/>
          <w:szCs w:val="24"/>
        </w:rPr>
        <w:t xml:space="preserve">3 – VIGÊNCIA DA ATA DE REGISTRO DE PREÇOS    </w:t>
      </w:r>
    </w:p>
    <w:p w14:paraId="0FEF1003" w14:textId="5CBE2BDE" w:rsidR="00EC0B57" w:rsidRDefault="00EC0B57" w:rsidP="00EC0B57">
      <w:pPr>
        <w:spacing w:line="360" w:lineRule="auto"/>
        <w:rPr>
          <w:rFonts w:ascii="Calibri" w:hAnsi="Calibri" w:cs="Calibri"/>
          <w:sz w:val="24"/>
          <w:szCs w:val="24"/>
        </w:rPr>
      </w:pPr>
      <w:r w:rsidRPr="008D0E90">
        <w:rPr>
          <w:rFonts w:ascii="Calibri" w:hAnsi="Calibri" w:cs="Calibri"/>
          <w:sz w:val="24"/>
          <w:szCs w:val="24"/>
        </w:rPr>
        <w:t xml:space="preserve">3.1 - O prazo de vigência da presente Ata de Registro de Preços será de 12 (doze) meses, contados a partir da data de sua assinatura.  </w:t>
      </w:r>
    </w:p>
    <w:p w14:paraId="56866E06" w14:textId="77777777" w:rsidR="00EC0B57" w:rsidRPr="008D0E90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="Calibri" w:hAnsi="Calibri" w:cs="Calibri"/>
          <w:b/>
          <w:bCs/>
          <w:sz w:val="24"/>
          <w:szCs w:val="24"/>
        </w:rPr>
      </w:pPr>
      <w:r w:rsidRPr="008D0E90">
        <w:rPr>
          <w:rFonts w:ascii="Calibri" w:hAnsi="Calibri" w:cs="Calibri"/>
          <w:b/>
          <w:bCs/>
          <w:sz w:val="24"/>
          <w:szCs w:val="24"/>
        </w:rPr>
        <w:t xml:space="preserve">4 – PREÇOS REGISTRADOS  </w:t>
      </w:r>
    </w:p>
    <w:p w14:paraId="7E37C7C6" w14:textId="77777777" w:rsidR="00EC0B57" w:rsidRPr="001115AF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="Calibri" w:hAnsi="Calibri" w:cs="Calibri"/>
          <w:sz w:val="24"/>
          <w:szCs w:val="24"/>
        </w:rPr>
      </w:pPr>
      <w:r w:rsidRPr="008D0E90">
        <w:rPr>
          <w:rFonts w:ascii="Calibri" w:hAnsi="Calibri" w:cs="Calibri"/>
          <w:sz w:val="24"/>
          <w:szCs w:val="24"/>
        </w:rPr>
        <w:t>4.1 - Os preços registrados para o signatário da presente ata são os seguintes: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0"/>
      </w:tblGrid>
      <w:tr w:rsidR="00C779EC" w:rsidRPr="00D21A48" w14:paraId="19FE069D" w14:textId="77777777" w:rsidTr="00035335">
        <w:trPr>
          <w:trHeight w:val="300"/>
        </w:trPr>
        <w:tc>
          <w:tcPr>
            <w:tcW w:w="9490" w:type="dxa"/>
            <w:shd w:val="clear" w:color="auto" w:fill="D9D9D9"/>
            <w:hideMark/>
          </w:tcPr>
          <w:p w14:paraId="53164FBE" w14:textId="306F69BE" w:rsidR="00C779EC" w:rsidRPr="00D21A48" w:rsidRDefault="00C779EC" w:rsidP="009551B0">
            <w:pPr>
              <w:pStyle w:val="Cabealho"/>
              <w:tabs>
                <w:tab w:val="left" w:pos="90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D21A48">
              <w:rPr>
                <w:rFonts w:ascii="Calibri" w:hAnsi="Calibri" w:cs="Calibri"/>
                <w:b/>
                <w:bCs/>
              </w:rPr>
              <w:t xml:space="preserve">LOTE </w:t>
            </w:r>
            <w:r w:rsidR="00326C3A">
              <w:rPr>
                <w:rFonts w:ascii="Calibri" w:hAnsi="Calibri" w:cs="Calibri"/>
                <w:b/>
                <w:bCs/>
              </w:rPr>
              <w:t>I</w:t>
            </w:r>
            <w:r w:rsidR="00A2027B">
              <w:rPr>
                <w:rFonts w:ascii="Calibri" w:hAnsi="Calibri" w:cs="Calibri"/>
                <w:b/>
                <w:bCs/>
              </w:rPr>
              <w:t>V</w:t>
            </w:r>
          </w:p>
        </w:tc>
      </w:tr>
    </w:tbl>
    <w:p w14:paraId="41507FAA" w14:textId="77777777" w:rsidR="00C779EC" w:rsidRPr="00D21A48" w:rsidRDefault="00C779EC" w:rsidP="00C779EC">
      <w:pPr>
        <w:rPr>
          <w:rFonts w:ascii="Calibri" w:hAnsi="Calibri" w:cs="Calibri"/>
          <w:vanish/>
        </w:rPr>
      </w:pPr>
    </w:p>
    <w:tbl>
      <w:tblPr>
        <w:tblW w:w="95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19"/>
        <w:gridCol w:w="5240"/>
        <w:gridCol w:w="26"/>
        <w:gridCol w:w="1192"/>
        <w:gridCol w:w="1175"/>
        <w:gridCol w:w="8"/>
        <w:gridCol w:w="1204"/>
        <w:gridCol w:w="9"/>
      </w:tblGrid>
      <w:tr w:rsidR="00687AC7" w:rsidRPr="00D21A48" w14:paraId="21B29CC5" w14:textId="77777777" w:rsidTr="007C58B5">
        <w:trPr>
          <w:jc w:val="center"/>
        </w:trPr>
        <w:tc>
          <w:tcPr>
            <w:tcW w:w="719" w:type="dxa"/>
            <w:gridSpan w:val="2"/>
            <w:shd w:val="clear" w:color="auto" w:fill="auto"/>
            <w:vAlign w:val="center"/>
          </w:tcPr>
          <w:p w14:paraId="483E734D" w14:textId="77777777" w:rsidR="00C779EC" w:rsidRPr="00D21A48" w:rsidRDefault="00C779EC" w:rsidP="009551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1A48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1EDA22F2" w14:textId="77777777" w:rsidR="00C779EC" w:rsidRPr="00D21A48" w:rsidRDefault="00C779EC" w:rsidP="009551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1A48">
              <w:rPr>
                <w:rFonts w:ascii="Calibri" w:hAnsi="Calibri" w:cs="Calibri"/>
                <w:b/>
                <w:bCs/>
              </w:rPr>
              <w:t>ESPECIFICAÇÃO</w:t>
            </w:r>
          </w:p>
        </w:tc>
        <w:tc>
          <w:tcPr>
            <w:tcW w:w="1218" w:type="dxa"/>
            <w:gridSpan w:val="2"/>
            <w:shd w:val="clear" w:color="auto" w:fill="auto"/>
          </w:tcPr>
          <w:p w14:paraId="317B6CD1" w14:textId="77777777" w:rsidR="00C779EC" w:rsidRPr="00D21A48" w:rsidRDefault="00C779EC" w:rsidP="009551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1A48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1183" w:type="dxa"/>
            <w:gridSpan w:val="2"/>
            <w:shd w:val="clear" w:color="auto" w:fill="auto"/>
          </w:tcPr>
          <w:p w14:paraId="670A4BAA" w14:textId="77777777" w:rsidR="00C779EC" w:rsidRPr="00D21A48" w:rsidRDefault="00C779EC" w:rsidP="009551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1A48">
              <w:rPr>
                <w:rFonts w:ascii="Calibri" w:hAnsi="Calibri" w:cs="Calibri"/>
                <w:b/>
                <w:bCs/>
              </w:rPr>
              <w:t>Preço Unitário</w:t>
            </w:r>
          </w:p>
        </w:tc>
        <w:tc>
          <w:tcPr>
            <w:tcW w:w="1213" w:type="dxa"/>
            <w:gridSpan w:val="2"/>
            <w:vAlign w:val="center"/>
          </w:tcPr>
          <w:p w14:paraId="1105AC60" w14:textId="77777777" w:rsidR="00C779EC" w:rsidRPr="00D21A48" w:rsidRDefault="00C779EC" w:rsidP="009551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1A48">
              <w:rPr>
                <w:rFonts w:ascii="Calibri" w:hAnsi="Calibri" w:cs="Calibri"/>
                <w:b/>
                <w:bCs/>
              </w:rPr>
              <w:t>Preço Total</w:t>
            </w:r>
          </w:p>
        </w:tc>
      </w:tr>
      <w:tr w:rsidR="00687AC7" w:rsidRPr="00D21A48" w14:paraId="07EA2405" w14:textId="77777777" w:rsidTr="007C58B5">
        <w:trPr>
          <w:jc w:val="center"/>
        </w:trPr>
        <w:tc>
          <w:tcPr>
            <w:tcW w:w="719" w:type="dxa"/>
            <w:gridSpan w:val="2"/>
            <w:shd w:val="clear" w:color="auto" w:fill="auto"/>
            <w:vAlign w:val="center"/>
          </w:tcPr>
          <w:p w14:paraId="5C34E664" w14:textId="23D72E75" w:rsidR="00C779EC" w:rsidRPr="00D21A48" w:rsidRDefault="00A2027B" w:rsidP="009551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5240" w:type="dxa"/>
            <w:shd w:val="clear" w:color="auto" w:fill="auto"/>
          </w:tcPr>
          <w:p w14:paraId="55DCBE31" w14:textId="7F387AB2" w:rsidR="00C779EC" w:rsidRPr="00D21A48" w:rsidRDefault="00A2027B" w:rsidP="00744B0A">
            <w:pPr>
              <w:rPr>
                <w:rFonts w:ascii="Calibri" w:hAnsi="Calibri" w:cs="Calibri"/>
              </w:rPr>
            </w:pPr>
            <w:r w:rsidRPr="00284BC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PERSIANA VERTICAL EM PVC -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 xml:space="preserve">Persiana vertical PVC </w:t>
            </w:r>
            <w:proofErr w:type="spellStart"/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contract</w:t>
            </w:r>
            <w:proofErr w:type="spellEnd"/>
            <w:r w:rsidRPr="00284BCB">
              <w:rPr>
                <w:rFonts w:asciiTheme="minorHAnsi" w:hAnsiTheme="minorHAnsi" w:cstheme="minorHAnsi"/>
                <w:sz w:val="21"/>
                <w:szCs w:val="21"/>
              </w:rPr>
              <w:t xml:space="preserve"> instalada, trilhos em alumínio anodizado e polido liso, eixo em alumínio 5 cavidades, tampas e peças cromadas com tratamento </w:t>
            </w:r>
            <w:proofErr w:type="spellStart"/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anti</w:t>
            </w:r>
            <w:proofErr w:type="spellEnd"/>
            <w:r w:rsidRPr="00284BCB">
              <w:rPr>
                <w:rFonts w:asciiTheme="minorHAnsi" w:hAnsiTheme="minorHAnsi" w:cstheme="minorHAnsi"/>
                <w:sz w:val="21"/>
                <w:szCs w:val="21"/>
              </w:rPr>
              <w:t xml:space="preserve"> UV, correntes inox, fixadores metálicos em inox, os acionamentos das persianas deverão ser manuais com comandos, o comando do lado direito recolhem</w:t>
            </w:r>
            <w:r w:rsidRPr="00284BCB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as</w:t>
            </w:r>
            <w:r w:rsidRPr="00284BCB">
              <w:rPr>
                <w:rFonts w:asciiTheme="minorHAnsi" w:hAnsiTheme="minorHAnsi" w:cstheme="minorHAnsi"/>
                <w:spacing w:val="-6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laminas</w:t>
            </w:r>
            <w:r w:rsidRPr="00284BCB">
              <w:rPr>
                <w:rFonts w:asciiTheme="minorHAnsi" w:hAnsiTheme="minorHAnsi" w:cstheme="minorHAnsi"/>
                <w:spacing w:val="-5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para</w:t>
            </w:r>
            <w:r w:rsidRPr="00284BCB">
              <w:rPr>
                <w:rFonts w:asciiTheme="minorHAnsi" w:hAnsiTheme="minorHAnsi" w:cstheme="minorHAnsi"/>
                <w:spacing w:val="-6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284BCB">
              <w:rPr>
                <w:rFonts w:asciiTheme="minorHAnsi" w:hAnsiTheme="minorHAnsi" w:cstheme="minorHAnsi"/>
                <w:spacing w:val="-9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lado</w:t>
            </w:r>
            <w:r w:rsidRPr="00284BCB">
              <w:rPr>
                <w:rFonts w:asciiTheme="minorHAnsi" w:hAnsiTheme="minorHAnsi" w:cstheme="minorHAnsi"/>
                <w:spacing w:val="-7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direito</w:t>
            </w:r>
            <w:r w:rsidRPr="00284BCB">
              <w:rPr>
                <w:rFonts w:asciiTheme="minorHAnsi" w:hAnsiTheme="minorHAnsi" w:cstheme="minorHAnsi"/>
                <w:spacing w:val="-6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Pr="00284BCB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as</w:t>
            </w:r>
            <w:r w:rsidRPr="00284BCB">
              <w:rPr>
                <w:rFonts w:asciiTheme="minorHAnsi" w:hAnsiTheme="minorHAnsi" w:cstheme="minorHAnsi"/>
                <w:spacing w:val="-7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do</w:t>
            </w:r>
            <w:r w:rsidRPr="00284BCB">
              <w:rPr>
                <w:rFonts w:asciiTheme="minorHAnsi" w:hAnsiTheme="minorHAnsi" w:cstheme="minorHAnsi"/>
                <w:spacing w:val="-9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comando</w:t>
            </w:r>
            <w:r w:rsidRPr="00284BCB">
              <w:rPr>
                <w:rFonts w:asciiTheme="minorHAnsi" w:hAnsiTheme="minorHAnsi" w:cstheme="minorHAnsi"/>
                <w:spacing w:val="-7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do</w:t>
            </w:r>
            <w:r w:rsidRPr="00284BCB">
              <w:rPr>
                <w:rFonts w:asciiTheme="minorHAnsi" w:hAnsiTheme="minorHAnsi" w:cstheme="minorHAnsi"/>
                <w:spacing w:val="-9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lado esquerdo para o lado esquerdo junto aos comando esses comandos</w:t>
            </w:r>
            <w:r w:rsidRPr="00284BCB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do</w:t>
            </w:r>
            <w:r w:rsidRPr="00284BCB">
              <w:rPr>
                <w:rFonts w:asciiTheme="minorHAnsi" w:hAnsiTheme="minorHAnsi" w:cstheme="minorHAnsi"/>
                <w:spacing w:val="-9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lado</w:t>
            </w:r>
            <w:r w:rsidRPr="00284BCB">
              <w:rPr>
                <w:rFonts w:asciiTheme="minorHAnsi" w:hAnsiTheme="minorHAnsi" w:cstheme="minorHAnsi"/>
                <w:spacing w:val="-9"/>
                <w:sz w:val="21"/>
                <w:szCs w:val="21"/>
              </w:rPr>
              <w:t xml:space="preserve"> </w:t>
            </w:r>
            <w:proofErr w:type="spellStart"/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direitoƒlado</w:t>
            </w:r>
            <w:proofErr w:type="spellEnd"/>
            <w:r w:rsidRPr="00284BCB">
              <w:rPr>
                <w:rFonts w:asciiTheme="minorHAnsi" w:hAnsiTheme="minorHAnsi" w:cstheme="minorHAnsi"/>
                <w:spacing w:val="-9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esquerdo</w:t>
            </w:r>
            <w:r w:rsidRPr="00284BCB">
              <w:rPr>
                <w:rFonts w:asciiTheme="minorHAnsi" w:hAnsiTheme="minorHAnsi" w:cstheme="minorHAnsi"/>
                <w:spacing w:val="-9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as</w:t>
            </w:r>
            <w:r w:rsidRPr="00284BCB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laminas</w:t>
            </w:r>
            <w:r w:rsidRPr="00284BCB">
              <w:rPr>
                <w:rFonts w:asciiTheme="minorHAnsi" w:hAnsiTheme="minorHAnsi" w:cstheme="minorHAnsi"/>
                <w:spacing w:val="-10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recolhem</w:t>
            </w:r>
            <w:r w:rsidRPr="00284BCB">
              <w:rPr>
                <w:rFonts w:asciiTheme="minorHAnsi" w:hAnsiTheme="minorHAnsi" w:cstheme="minorHAnsi"/>
                <w:spacing w:val="-10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do centro para as extremidades sendo metade para cada lado. Os trilhos superiores em alumínio espessura aproximada de 0,7mm com pintura epóxi branca, os cordões 100% poliéster em cor coordenada.</w:t>
            </w:r>
            <w:r w:rsidRPr="00284BCB">
              <w:rPr>
                <w:rFonts w:asciiTheme="minorHAnsi" w:hAnsiTheme="minorHAnsi" w:cstheme="minorHAnsi"/>
                <w:spacing w:val="-11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284BCB">
              <w:rPr>
                <w:rFonts w:asciiTheme="minorHAnsi" w:hAnsiTheme="minorHAnsi" w:cstheme="minorHAnsi"/>
                <w:spacing w:val="-11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quantidade</w:t>
            </w:r>
            <w:r w:rsidRPr="00284BCB">
              <w:rPr>
                <w:rFonts w:asciiTheme="minorHAnsi" w:hAnsiTheme="minorHAnsi" w:cstheme="minorHAnsi"/>
                <w:spacing w:val="-12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deverá</w:t>
            </w:r>
            <w:r w:rsidRPr="00284BCB">
              <w:rPr>
                <w:rFonts w:asciiTheme="minorHAnsi" w:hAnsiTheme="minorHAnsi" w:cstheme="minorHAnsi"/>
                <w:spacing w:val="-10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variar</w:t>
            </w:r>
            <w:r w:rsidRPr="00284BCB">
              <w:rPr>
                <w:rFonts w:asciiTheme="minorHAnsi" w:hAnsiTheme="minorHAnsi" w:cstheme="minorHAnsi"/>
                <w:spacing w:val="-11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de</w:t>
            </w:r>
            <w:r w:rsidRPr="00284BCB">
              <w:rPr>
                <w:rFonts w:asciiTheme="minorHAnsi" w:hAnsiTheme="minorHAnsi" w:cstheme="minorHAnsi"/>
                <w:spacing w:val="-11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acordo</w:t>
            </w:r>
            <w:r w:rsidRPr="00284BCB">
              <w:rPr>
                <w:rFonts w:asciiTheme="minorHAnsi" w:hAnsiTheme="minorHAnsi" w:cstheme="minorHAnsi"/>
                <w:spacing w:val="-11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com</w:t>
            </w:r>
            <w:r w:rsidRPr="00284BCB">
              <w:rPr>
                <w:rFonts w:asciiTheme="minorHAnsi" w:hAnsiTheme="minorHAnsi" w:cstheme="minorHAnsi"/>
                <w:spacing w:val="-11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284BCB">
              <w:rPr>
                <w:rFonts w:asciiTheme="minorHAnsi" w:hAnsiTheme="minorHAnsi" w:cstheme="minorHAnsi"/>
                <w:spacing w:val="-11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largura da persiana. O acionamento em corrente de comando boleado em inox para acionamento giratório em cordão 100% poliéster para o recolhimento em mecanismo suave e resistente. Fixação através de buchas e parafusos nº 08, suporte em instalação em aço inox, marca e modelo AMBIENTE. Área mínima = 1,50m² / Altura mínima = 1,20m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 Unidade: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m²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1079328C" w14:textId="27ED8802" w:rsidR="00C779EC" w:rsidRPr="00D21A48" w:rsidRDefault="00A2027B" w:rsidP="009551B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150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1494E90C" w14:textId="404CE3B0" w:rsidR="00C779EC" w:rsidRPr="00D21A48" w:rsidRDefault="00A2027B" w:rsidP="009551B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R$ 99,00</w:t>
            </w:r>
          </w:p>
        </w:tc>
        <w:tc>
          <w:tcPr>
            <w:tcW w:w="1213" w:type="dxa"/>
            <w:gridSpan w:val="2"/>
            <w:vAlign w:val="center"/>
          </w:tcPr>
          <w:p w14:paraId="2FBD3013" w14:textId="223B7B3A" w:rsidR="00C779EC" w:rsidRPr="00D21A48" w:rsidRDefault="00744B0A" w:rsidP="009551B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R$ </w:t>
            </w:r>
            <w:r w:rsidR="00A2027B">
              <w:rPr>
                <w:rFonts w:ascii="Calibri" w:hAnsi="Calibri" w:cs="Calibri"/>
                <w:b/>
              </w:rPr>
              <w:t>14.850,00</w:t>
            </w:r>
          </w:p>
        </w:tc>
      </w:tr>
      <w:tr w:rsidR="00687AC7" w:rsidRPr="00D21A48" w14:paraId="29D4307B" w14:textId="77777777" w:rsidTr="007C58B5">
        <w:trPr>
          <w:jc w:val="center"/>
        </w:trPr>
        <w:tc>
          <w:tcPr>
            <w:tcW w:w="719" w:type="dxa"/>
            <w:gridSpan w:val="2"/>
            <w:shd w:val="clear" w:color="auto" w:fill="auto"/>
            <w:vAlign w:val="center"/>
          </w:tcPr>
          <w:p w14:paraId="3C74827F" w14:textId="5461C40E" w:rsidR="00C779EC" w:rsidRPr="00D21A48" w:rsidRDefault="00A2027B" w:rsidP="009551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</w:t>
            </w:r>
          </w:p>
        </w:tc>
        <w:tc>
          <w:tcPr>
            <w:tcW w:w="5240" w:type="dxa"/>
            <w:shd w:val="clear" w:color="auto" w:fill="auto"/>
          </w:tcPr>
          <w:p w14:paraId="41E36B17" w14:textId="1D23F22F" w:rsidR="00C779EC" w:rsidRPr="00D21A48" w:rsidRDefault="00A2027B" w:rsidP="00744B0A">
            <w:pPr>
              <w:rPr>
                <w:rFonts w:ascii="Calibri" w:hAnsi="Calibri" w:cs="Calibri"/>
              </w:rPr>
            </w:pPr>
            <w:r w:rsidRPr="00284BC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PERSIANA HORIZONTAL EM ALUMÍNIO -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Persiana horizontal 25mm em alumínio instalada, lâminas em alumínio</w:t>
            </w:r>
            <w:r w:rsidRPr="00284BCB">
              <w:rPr>
                <w:rFonts w:asciiTheme="minorHAnsi" w:hAnsiTheme="minorHAnsi" w:cstheme="minorHAnsi"/>
                <w:spacing w:val="-9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espessura</w:t>
            </w:r>
            <w:r w:rsidRPr="00284BCB">
              <w:rPr>
                <w:rFonts w:asciiTheme="minorHAnsi" w:hAnsiTheme="minorHAnsi" w:cstheme="minorHAnsi"/>
                <w:spacing w:val="-7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0,21,</w:t>
            </w:r>
            <w:r w:rsidRPr="00284BCB">
              <w:rPr>
                <w:rFonts w:asciiTheme="minorHAnsi" w:hAnsiTheme="minorHAnsi" w:cstheme="minorHAnsi"/>
                <w:spacing w:val="-10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largura</w:t>
            </w:r>
            <w:r w:rsidRPr="00284BCB">
              <w:rPr>
                <w:rFonts w:asciiTheme="minorHAnsi" w:hAnsiTheme="minorHAnsi" w:cstheme="minorHAnsi"/>
                <w:spacing w:val="-7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26mm,</w:t>
            </w:r>
            <w:r w:rsidRPr="00284BCB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com</w:t>
            </w:r>
            <w:r w:rsidRPr="00284BCB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pintura</w:t>
            </w:r>
            <w:r w:rsidRPr="00284BCB">
              <w:rPr>
                <w:rFonts w:asciiTheme="minorHAnsi" w:hAnsiTheme="minorHAnsi" w:cstheme="minorHAnsi"/>
                <w:spacing w:val="-7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epóxi,</w:t>
            </w:r>
            <w:r w:rsidRPr="00284BCB">
              <w:rPr>
                <w:rFonts w:asciiTheme="minorHAnsi" w:hAnsiTheme="minorHAnsi" w:cstheme="minorHAnsi"/>
                <w:spacing w:val="-7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com tratamento antioxidante e tampas laterais em polipropileno na cor das lâminas. Trilhos superiores e inferiores em alumínio, pintado na cor das lâminas, cor coordenada com as lâminas. Cordões e cintas, cordão 100% poliéster em cor coordenada, a quantidade deverá variar de acordo com o peitoril. Tampas de acabamento em polipropileno em cor coordenada com a persiana. Acionamento giratório com bastão em acrílico maciço transparente e usando cordão 100% poliéster para o recolhimento</w:t>
            </w:r>
            <w:r w:rsidRPr="00284BCB">
              <w:rPr>
                <w:rFonts w:asciiTheme="minorHAnsi" w:hAnsiTheme="minorHAnsi" w:cstheme="minorHAnsi"/>
                <w:spacing w:val="-12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em</w:t>
            </w:r>
            <w:r w:rsidRPr="00284BCB">
              <w:rPr>
                <w:rFonts w:asciiTheme="minorHAnsi" w:hAnsiTheme="minorHAnsi" w:cstheme="minorHAnsi"/>
                <w:spacing w:val="-12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mecanismo</w:t>
            </w:r>
            <w:r w:rsidRPr="00284BCB">
              <w:rPr>
                <w:rFonts w:asciiTheme="minorHAnsi" w:hAnsiTheme="minorHAnsi" w:cstheme="minorHAnsi"/>
                <w:spacing w:val="-10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suave</w:t>
            </w:r>
            <w:r w:rsidRPr="00284BCB">
              <w:rPr>
                <w:rFonts w:asciiTheme="minorHAnsi" w:hAnsiTheme="minorHAnsi" w:cstheme="minorHAnsi"/>
                <w:spacing w:val="-12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Pr="00284BCB">
              <w:rPr>
                <w:rFonts w:asciiTheme="minorHAnsi" w:hAnsiTheme="minorHAnsi" w:cstheme="minorHAnsi"/>
                <w:spacing w:val="-12"/>
                <w:sz w:val="21"/>
                <w:szCs w:val="21"/>
              </w:rPr>
              <w:t xml:space="preserve">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resistente. Fixação através de buchas e parafusos nº 08, suporte em instalação em aço inox, marca e modelo AMBIENTE, em acordo com a norma ABNT NBR16.007:2011. Área mínima = 1,20m² / Altura mínima = 1,00m</w:t>
            </w:r>
            <w:r w:rsidR="007C58B5">
              <w:rPr>
                <w:rFonts w:asciiTheme="minorHAnsi" w:hAnsiTheme="minorHAnsi" w:cstheme="minorHAnsi"/>
                <w:sz w:val="21"/>
                <w:szCs w:val="21"/>
              </w:rPr>
              <w:t xml:space="preserve">. Unidade: </w:t>
            </w:r>
            <w:r w:rsidR="007C58B5" w:rsidRPr="00284BCB">
              <w:rPr>
                <w:rFonts w:asciiTheme="minorHAnsi" w:hAnsiTheme="minorHAnsi" w:cstheme="minorHAnsi"/>
                <w:sz w:val="21"/>
                <w:szCs w:val="21"/>
              </w:rPr>
              <w:t>m²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4C901850" w14:textId="643DE56E" w:rsidR="00C779EC" w:rsidRPr="00D21A48" w:rsidRDefault="007C58B5" w:rsidP="009551B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150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4F018F6D" w14:textId="07079CDA" w:rsidR="00C779EC" w:rsidRPr="00D21A48" w:rsidRDefault="00744B0A" w:rsidP="009551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44B0A">
              <w:rPr>
                <w:rFonts w:ascii="Calibri" w:hAnsi="Calibri" w:cs="Calibri"/>
                <w:b/>
                <w:bCs/>
              </w:rPr>
              <w:t xml:space="preserve">R$ </w:t>
            </w:r>
            <w:r w:rsidR="007C58B5">
              <w:rPr>
                <w:rFonts w:ascii="Calibri" w:hAnsi="Calibri" w:cs="Calibri"/>
                <w:b/>
                <w:bCs/>
              </w:rPr>
              <w:t>109,00</w:t>
            </w:r>
          </w:p>
        </w:tc>
        <w:tc>
          <w:tcPr>
            <w:tcW w:w="1213" w:type="dxa"/>
            <w:gridSpan w:val="2"/>
            <w:vAlign w:val="center"/>
          </w:tcPr>
          <w:p w14:paraId="09E824B0" w14:textId="3D4E46EF" w:rsidR="00C779EC" w:rsidRPr="00D21A48" w:rsidRDefault="00744B0A" w:rsidP="009551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44B0A">
              <w:rPr>
                <w:rFonts w:ascii="Calibri" w:hAnsi="Calibri" w:cs="Calibri"/>
                <w:b/>
                <w:bCs/>
              </w:rPr>
              <w:t xml:space="preserve">R$ </w:t>
            </w:r>
            <w:r w:rsidR="007C58B5">
              <w:rPr>
                <w:rFonts w:ascii="Calibri" w:hAnsi="Calibri" w:cs="Calibri"/>
                <w:b/>
                <w:bCs/>
              </w:rPr>
              <w:t>16.350,00</w:t>
            </w:r>
          </w:p>
        </w:tc>
      </w:tr>
      <w:tr w:rsidR="00687AC7" w:rsidRPr="00D21A48" w14:paraId="2F32F2A6" w14:textId="77777777" w:rsidTr="007C58B5">
        <w:trPr>
          <w:gridAfter w:val="1"/>
          <w:wAfter w:w="9" w:type="dxa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67DECDDE" w14:textId="489416B9" w:rsidR="00C779EC" w:rsidRPr="00D21A48" w:rsidRDefault="008C55C2" w:rsidP="009551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5285" w:type="dxa"/>
            <w:gridSpan w:val="3"/>
            <w:shd w:val="clear" w:color="auto" w:fill="auto"/>
          </w:tcPr>
          <w:p w14:paraId="4B7B9BA0" w14:textId="1238FE0D" w:rsidR="00C779EC" w:rsidRPr="00D21A48" w:rsidRDefault="008C55C2" w:rsidP="00C15CC5">
            <w:pPr>
              <w:rPr>
                <w:rFonts w:ascii="Calibri" w:hAnsi="Calibri" w:cs="Calibri"/>
              </w:rPr>
            </w:pPr>
            <w:r w:rsidRPr="00284BC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PERSIANA ROLÔ -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 xml:space="preserve">Persiana </w:t>
            </w:r>
            <w:proofErr w:type="spellStart"/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rolô</w:t>
            </w:r>
            <w:proofErr w:type="spellEnd"/>
            <w:r w:rsidRPr="00284BCB">
              <w:rPr>
                <w:rFonts w:asciiTheme="minorHAnsi" w:hAnsiTheme="minorHAnsi" w:cstheme="minorHAnsi"/>
                <w:sz w:val="21"/>
                <w:szCs w:val="21"/>
              </w:rPr>
              <w:t xml:space="preserve"> tela solar 1% com fibra de vidro na composição, 70ƒ30%, cor branca ou bege em tela </w:t>
            </w:r>
            <w:proofErr w:type="spellStart"/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screen</w:t>
            </w:r>
            <w:proofErr w:type="spellEnd"/>
            <w:r w:rsidRPr="00284BCB">
              <w:rPr>
                <w:rFonts w:asciiTheme="minorHAnsi" w:hAnsiTheme="minorHAnsi" w:cstheme="minorHAnsi"/>
                <w:sz w:val="21"/>
                <w:szCs w:val="21"/>
              </w:rPr>
              <w:t xml:space="preserve"> com acionamento manual por comando com mola de alívio, com corrente de comando em inox, inclusive todos os elementos de fixação. Bloqueio de 90 a 95% dos raios UV e retendo a claridade, marca e modelo AMBIENTE, em acordo com a norma ABNT NBR 16.234:2014. Área mínima = 1,50m² / Altura mínima = 1,20m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Unidade: </w:t>
            </w:r>
            <w:r w:rsidRPr="00284BCB">
              <w:rPr>
                <w:rFonts w:asciiTheme="minorHAnsi" w:hAnsiTheme="minorHAnsi" w:cstheme="minorHAnsi"/>
                <w:sz w:val="21"/>
                <w:szCs w:val="21"/>
              </w:rPr>
              <w:t>m²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00E28F5" w14:textId="1E2AC5BA" w:rsidR="00C779EC" w:rsidRPr="00D21A48" w:rsidRDefault="008C55C2" w:rsidP="009551B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A46250F" w14:textId="3311A1DA" w:rsidR="00C779EC" w:rsidRPr="00D21A48" w:rsidRDefault="00C15CC5" w:rsidP="009551B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R$ </w:t>
            </w:r>
            <w:r w:rsidR="008C55C2">
              <w:rPr>
                <w:rFonts w:ascii="Calibri" w:hAnsi="Calibri" w:cs="Calibri"/>
                <w:b/>
                <w:bCs/>
              </w:rPr>
              <w:t>245,00</w:t>
            </w:r>
          </w:p>
        </w:tc>
        <w:tc>
          <w:tcPr>
            <w:tcW w:w="1212" w:type="dxa"/>
            <w:gridSpan w:val="2"/>
            <w:vAlign w:val="center"/>
          </w:tcPr>
          <w:p w14:paraId="10087310" w14:textId="648A1403" w:rsidR="00C779EC" w:rsidRPr="00D21A48" w:rsidRDefault="00C15CC5" w:rsidP="009551B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R$ </w:t>
            </w:r>
            <w:proofErr w:type="gramStart"/>
            <w:r w:rsidR="008C55C2">
              <w:rPr>
                <w:rFonts w:ascii="Calibri" w:hAnsi="Calibri" w:cs="Calibri"/>
                <w:b/>
                <w:bCs/>
              </w:rPr>
              <w:t>36.750,,</w:t>
            </w:r>
            <w:proofErr w:type="gramEnd"/>
            <w:r w:rsidR="008C55C2">
              <w:rPr>
                <w:rFonts w:ascii="Calibri" w:hAnsi="Calibri" w:cs="Calibri"/>
                <w:b/>
                <w:bCs/>
              </w:rPr>
              <w:t>00</w:t>
            </w:r>
          </w:p>
        </w:tc>
      </w:tr>
    </w:tbl>
    <w:p w14:paraId="5F980184" w14:textId="0C191828" w:rsidR="00C779EC" w:rsidRPr="00D21A48" w:rsidRDefault="00B140AE" w:rsidP="00C779EC">
      <w:pPr>
        <w:rPr>
          <w:rFonts w:ascii="Calibri" w:hAnsi="Calibri" w:cs="Calibri"/>
          <w:vanish/>
        </w:rPr>
      </w:pPr>
      <w:r w:rsidRPr="00D21A48">
        <w:rPr>
          <w:rFonts w:ascii="Calibri" w:hAnsi="Calibri" w:cs="Calibri"/>
        </w:rPr>
        <w:br w:type="page"/>
      </w:r>
    </w:p>
    <w:p w14:paraId="2AAB5BB5" w14:textId="77777777" w:rsidR="00C779EC" w:rsidRDefault="00C779EC" w:rsidP="00EC0B57">
      <w:pPr>
        <w:pStyle w:val="PargrafodaLista"/>
        <w:spacing w:before="120" w:line="360" w:lineRule="auto"/>
        <w:ind w:left="0"/>
        <w:contextualSpacing w:val="0"/>
        <w:rPr>
          <w:rFonts w:ascii="Calibri" w:hAnsi="Calibri" w:cs="Calibri"/>
          <w:sz w:val="24"/>
          <w:szCs w:val="24"/>
        </w:rPr>
      </w:pPr>
    </w:p>
    <w:p w14:paraId="26F964AA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4.2 </w:t>
      </w:r>
      <w:proofErr w:type="gramStart"/>
      <w:r>
        <w:rPr>
          <w:rFonts w:ascii="Calibri" w:hAnsi="Calibri" w:cs="Calibri"/>
          <w:sz w:val="24"/>
          <w:szCs w:val="24"/>
        </w:rPr>
        <w:t xml:space="preserve">- </w:t>
      </w:r>
      <w:r w:rsidRPr="008D0E90">
        <w:rPr>
          <w:rFonts w:ascii="Calibri" w:hAnsi="Calibri" w:cs="Calibri"/>
          <w:sz w:val="24"/>
          <w:szCs w:val="24"/>
        </w:rPr>
        <w:t xml:space="preserve"> Os</w:t>
      </w:r>
      <w:proofErr w:type="gramEnd"/>
      <w:r w:rsidRPr="008D0E90">
        <w:rPr>
          <w:rFonts w:ascii="Calibri" w:hAnsi="Calibri" w:cs="Calibri"/>
          <w:sz w:val="24"/>
          <w:szCs w:val="24"/>
        </w:rPr>
        <w:t xml:space="preserve"> preços registrados poderão ser revistos em face de eventual redução daqueles praticados no mercado, ou de fato que eleve o custo dos bens registrados.  </w:t>
      </w:r>
    </w:p>
    <w:p w14:paraId="48979AB5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="Calibri" w:hAnsi="Calibri" w:cs="Calibri"/>
          <w:sz w:val="24"/>
          <w:szCs w:val="24"/>
        </w:rPr>
      </w:pPr>
      <w:r w:rsidRPr="008D0E90">
        <w:rPr>
          <w:rFonts w:ascii="Calibri" w:hAnsi="Calibri" w:cs="Calibri"/>
          <w:sz w:val="24"/>
          <w:szCs w:val="24"/>
        </w:rPr>
        <w:t xml:space="preserve">4.3 - Quando o preço registrado, por motivo superveniente, tornar-se superior ao preço praticado no mercado, a </w:t>
      </w:r>
      <w:r>
        <w:rPr>
          <w:rFonts w:ascii="Calibri" w:hAnsi="Calibri" w:cs="Calibri"/>
          <w:sz w:val="24"/>
          <w:szCs w:val="24"/>
        </w:rPr>
        <w:t>COSANPA</w:t>
      </w:r>
      <w:r w:rsidRPr="008D0E90">
        <w:rPr>
          <w:rFonts w:ascii="Calibri" w:hAnsi="Calibri" w:cs="Calibri"/>
          <w:sz w:val="24"/>
          <w:szCs w:val="24"/>
        </w:rPr>
        <w:t xml:space="preserve"> convocará o fornecedor signatário da ata visando a negociação para redução de preços e sua adequação ao praticado pelo mercado.</w:t>
      </w:r>
    </w:p>
    <w:p w14:paraId="7B17007F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="Calibri" w:hAnsi="Calibri" w:cs="Calibri"/>
          <w:sz w:val="24"/>
          <w:szCs w:val="24"/>
        </w:rPr>
      </w:pPr>
      <w:r w:rsidRPr="00307A3D">
        <w:rPr>
          <w:rFonts w:ascii="Calibri" w:hAnsi="Calibri" w:cs="Calibri"/>
          <w:sz w:val="24"/>
          <w:szCs w:val="24"/>
        </w:rPr>
        <w:t>4.4 - Frustrada a negociação, o fornecedor signatário da ata será liberado do compromisso assumido</w:t>
      </w:r>
      <w:r>
        <w:rPr>
          <w:rFonts w:ascii="Calibri" w:hAnsi="Calibri" w:cs="Calibri"/>
          <w:sz w:val="24"/>
          <w:szCs w:val="24"/>
        </w:rPr>
        <w:t>.</w:t>
      </w:r>
    </w:p>
    <w:p w14:paraId="3C7AF3CF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="Calibri" w:hAnsi="Calibri" w:cs="Calibri"/>
          <w:sz w:val="24"/>
          <w:szCs w:val="24"/>
        </w:rPr>
      </w:pPr>
      <w:r w:rsidRPr="00307A3D">
        <w:rPr>
          <w:rFonts w:ascii="Calibri" w:hAnsi="Calibri" w:cs="Calibri"/>
          <w:sz w:val="24"/>
          <w:szCs w:val="24"/>
        </w:rPr>
        <w:t xml:space="preserve">4.5 - Na hipótese do subitem anterior, a </w:t>
      </w:r>
      <w:r>
        <w:rPr>
          <w:rFonts w:ascii="Calibri" w:hAnsi="Calibri" w:cs="Calibri"/>
          <w:sz w:val="24"/>
          <w:szCs w:val="24"/>
        </w:rPr>
        <w:t>COSANPA</w:t>
      </w:r>
      <w:r w:rsidRPr="00307A3D">
        <w:rPr>
          <w:rFonts w:ascii="Calibri" w:hAnsi="Calibri" w:cs="Calibri"/>
          <w:sz w:val="24"/>
          <w:szCs w:val="24"/>
        </w:rPr>
        <w:t xml:space="preserve"> convocará os demais fornecedores signatários da ata visando igual oportunidade de negociação.</w:t>
      </w:r>
    </w:p>
    <w:p w14:paraId="53E826C9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="Calibri" w:hAnsi="Calibri" w:cs="Calibri"/>
          <w:sz w:val="24"/>
          <w:szCs w:val="24"/>
        </w:rPr>
      </w:pPr>
      <w:r w:rsidRPr="00307A3D">
        <w:rPr>
          <w:rFonts w:ascii="Calibri" w:hAnsi="Calibri" w:cs="Calibri"/>
          <w:sz w:val="24"/>
          <w:szCs w:val="24"/>
        </w:rPr>
        <w:t xml:space="preserve">4.6 - Quando o preço de mercado </w:t>
      </w:r>
      <w:proofErr w:type="gramStart"/>
      <w:r w:rsidRPr="00307A3D">
        <w:rPr>
          <w:rFonts w:ascii="Calibri" w:hAnsi="Calibri" w:cs="Calibri"/>
          <w:sz w:val="24"/>
          <w:szCs w:val="24"/>
        </w:rPr>
        <w:t>tornar-se</w:t>
      </w:r>
      <w:proofErr w:type="gramEnd"/>
      <w:r w:rsidRPr="00307A3D">
        <w:rPr>
          <w:rFonts w:ascii="Calibri" w:hAnsi="Calibri" w:cs="Calibri"/>
          <w:sz w:val="24"/>
          <w:szCs w:val="24"/>
        </w:rPr>
        <w:t xml:space="preserve"> superior aos preços registrados e o fornecedor signatário da ata, mediante requerimento devidamente comprovado, não puder cumprir o compromisso, a </w:t>
      </w:r>
      <w:r>
        <w:rPr>
          <w:rFonts w:ascii="Calibri" w:hAnsi="Calibri" w:cs="Calibri"/>
          <w:sz w:val="24"/>
          <w:szCs w:val="24"/>
        </w:rPr>
        <w:t>COSANPA</w:t>
      </w:r>
      <w:r w:rsidRPr="00307A3D">
        <w:rPr>
          <w:rFonts w:ascii="Calibri" w:hAnsi="Calibri" w:cs="Calibri"/>
          <w:sz w:val="24"/>
          <w:szCs w:val="24"/>
        </w:rPr>
        <w:t xml:space="preserve"> poderá:</w:t>
      </w:r>
    </w:p>
    <w:p w14:paraId="0C24DE04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="Calibri" w:hAnsi="Calibri" w:cs="Calibri"/>
          <w:sz w:val="24"/>
          <w:szCs w:val="24"/>
        </w:rPr>
      </w:pPr>
      <w:r w:rsidRPr="00307A3D">
        <w:rPr>
          <w:rFonts w:ascii="Calibri" w:hAnsi="Calibri" w:cs="Calibri"/>
          <w:sz w:val="24"/>
          <w:szCs w:val="24"/>
        </w:rPr>
        <w:t>4.6.1 - Liberá-lo do compromisso assumido, sem aplicação da penalidade, confirmando a veracidade dos motivos e comprovantes apresentados e se a comunicação ocorrer antes do pedido de fornecimento.</w:t>
      </w:r>
    </w:p>
    <w:p w14:paraId="7D65EFA1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="Calibri" w:hAnsi="Calibri" w:cs="Calibri"/>
          <w:sz w:val="24"/>
          <w:szCs w:val="24"/>
        </w:rPr>
      </w:pPr>
      <w:r w:rsidRPr="00307A3D">
        <w:rPr>
          <w:rFonts w:ascii="Calibri" w:hAnsi="Calibri" w:cs="Calibri"/>
          <w:sz w:val="24"/>
          <w:szCs w:val="24"/>
        </w:rPr>
        <w:t>4.6.2 - Convocar os demais fornecedores signatários da ata visando igual oportunidade de negociação.</w:t>
      </w:r>
    </w:p>
    <w:p w14:paraId="4AA6EBD3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="Calibri" w:hAnsi="Calibri" w:cs="Calibri"/>
          <w:sz w:val="24"/>
          <w:szCs w:val="24"/>
        </w:rPr>
      </w:pPr>
      <w:r w:rsidRPr="00307A3D">
        <w:rPr>
          <w:rFonts w:ascii="Calibri" w:hAnsi="Calibri" w:cs="Calibri"/>
          <w:sz w:val="24"/>
          <w:szCs w:val="24"/>
        </w:rPr>
        <w:t xml:space="preserve">4.7 - Não havendo êxito nas negociações, a </w:t>
      </w:r>
      <w:r>
        <w:rPr>
          <w:rFonts w:ascii="Calibri" w:hAnsi="Calibri" w:cs="Calibri"/>
          <w:sz w:val="24"/>
          <w:szCs w:val="24"/>
        </w:rPr>
        <w:t>COSANPA</w:t>
      </w:r>
      <w:r w:rsidRPr="00307A3D">
        <w:rPr>
          <w:rFonts w:ascii="Calibri" w:hAnsi="Calibri" w:cs="Calibri"/>
          <w:sz w:val="24"/>
          <w:szCs w:val="24"/>
        </w:rPr>
        <w:t xml:space="preserve"> deverá proceder à revogação parcial ou total da Ata de Registro de Preços, adotando as medidas cabíveis para obtenção da contratação mais vantajosa.</w:t>
      </w:r>
    </w:p>
    <w:p w14:paraId="4006E112" w14:textId="77777777" w:rsidR="00EC0B57" w:rsidRPr="0063329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633297">
        <w:rPr>
          <w:rFonts w:asciiTheme="minorHAnsi" w:hAnsiTheme="minorHAnsi" w:cstheme="minorHAnsi"/>
          <w:b/>
          <w:bCs/>
          <w:sz w:val="24"/>
          <w:szCs w:val="24"/>
        </w:rPr>
        <w:t xml:space="preserve">5 - CANCELAMENTO DO REGISTRO DE PREÇOS </w:t>
      </w:r>
    </w:p>
    <w:p w14:paraId="62F5348C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 xml:space="preserve">5.1 - O fornecedor signatário desta ata terá seu registro de preços cancelado nas seguintes situações: </w:t>
      </w:r>
    </w:p>
    <w:p w14:paraId="73EDCF53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>5.1</w:t>
      </w:r>
      <w:r>
        <w:rPr>
          <w:rFonts w:asciiTheme="minorHAnsi" w:hAnsiTheme="minorHAnsi" w:cstheme="minorHAnsi"/>
          <w:sz w:val="24"/>
          <w:szCs w:val="24"/>
        </w:rPr>
        <w:t xml:space="preserve">.1 </w:t>
      </w:r>
      <w:r w:rsidRPr="00633297">
        <w:rPr>
          <w:rFonts w:asciiTheme="minorHAnsi" w:hAnsiTheme="minorHAnsi" w:cstheme="minorHAnsi"/>
          <w:sz w:val="24"/>
          <w:szCs w:val="24"/>
        </w:rPr>
        <w:t xml:space="preserve">- Por iniciativa da </w:t>
      </w:r>
      <w:r>
        <w:rPr>
          <w:rFonts w:asciiTheme="minorHAnsi" w:hAnsiTheme="minorHAnsi" w:cstheme="minorHAnsi"/>
          <w:sz w:val="24"/>
          <w:szCs w:val="24"/>
        </w:rPr>
        <w:t>COSANPA</w:t>
      </w:r>
      <w:r w:rsidRPr="00633297">
        <w:rPr>
          <w:rFonts w:asciiTheme="minorHAnsi" w:hAnsiTheme="minorHAnsi" w:cstheme="minorHAnsi"/>
          <w:sz w:val="24"/>
          <w:szCs w:val="24"/>
        </w:rPr>
        <w:t xml:space="preserve">, assegurado o contraditório e ampla defesa, quando: </w:t>
      </w:r>
    </w:p>
    <w:p w14:paraId="053795A6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 xml:space="preserve">5.1.2- Descumprir as condições desta ARP. </w:t>
      </w:r>
    </w:p>
    <w:p w14:paraId="4074A366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 xml:space="preserve">5.1.3 - Deixar de assinar o contrato, no prazo estabelecido, decorrente do pedido de fornecimento, sem justificativa aceitável, após ter sido previamente convocado. </w:t>
      </w:r>
    </w:p>
    <w:p w14:paraId="55AD4C55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lastRenderedPageBreak/>
        <w:t xml:space="preserve">5.1.4 Não reduzir o preço registrado, na hipótese de este se tornar superior àqueles praticados no mercado. </w:t>
      </w:r>
    </w:p>
    <w:p w14:paraId="74562F45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 xml:space="preserve">5.1.5 - Por razões de interesse público, devidamente motivado e justificado. </w:t>
      </w:r>
    </w:p>
    <w:p w14:paraId="29605477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 xml:space="preserve">5.1.6 - A seu pedido, quando: </w:t>
      </w:r>
    </w:p>
    <w:p w14:paraId="6F95305F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 xml:space="preserve">5.1.7 - Comprovar estar impossibilitado de cumprir as exigências desta ARP, por ocorrência de casos fortuitos ou de força maior. </w:t>
      </w:r>
    </w:p>
    <w:p w14:paraId="496D8FDE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 xml:space="preserve">5.1.8 - O preço registrado se tornar, comprovadamente, inexequível em função da elevação dos preços de mercado. </w:t>
      </w:r>
    </w:p>
    <w:p w14:paraId="0B350C19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>5.2 - A solicitação do fornecedor signatário para cancelamento dos preços registrados poderá não ser aceita pela COSANPA, sendo-lhe facultada a aplicação das penalidades previstas nesta ARP, respeitados o direito ao contraditório e ampla defesa.</w:t>
      </w:r>
    </w:p>
    <w:p w14:paraId="49DDC8E4" w14:textId="77777777" w:rsidR="00EC0B57" w:rsidRPr="0063329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633297">
        <w:rPr>
          <w:rFonts w:asciiTheme="minorHAnsi" w:hAnsiTheme="minorHAnsi" w:cstheme="minorHAnsi"/>
          <w:b/>
          <w:bCs/>
          <w:sz w:val="24"/>
          <w:szCs w:val="24"/>
        </w:rPr>
        <w:t xml:space="preserve">6– OBRIGAÇÕES DO FORNECEDOR SIGNATÁRIO </w:t>
      </w:r>
    </w:p>
    <w:p w14:paraId="5C70AC71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 xml:space="preserve">6.1 - Sem prejuízo das disposições contidas no edital do Pregão Eletrônico </w:t>
      </w:r>
      <w:r>
        <w:rPr>
          <w:rFonts w:asciiTheme="minorHAnsi" w:hAnsiTheme="minorHAnsi" w:cstheme="minorHAnsi"/>
          <w:sz w:val="24"/>
          <w:szCs w:val="24"/>
        </w:rPr>
        <w:t xml:space="preserve">SRP </w:t>
      </w:r>
      <w:r w:rsidRPr="00633297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28</w:t>
      </w:r>
      <w:r w:rsidRPr="00633297">
        <w:rPr>
          <w:rFonts w:asciiTheme="minorHAnsi" w:hAnsiTheme="minorHAnsi" w:cstheme="minorHAnsi"/>
          <w:sz w:val="24"/>
          <w:szCs w:val="24"/>
        </w:rPr>
        <w:t xml:space="preserve">/2019 e de seus anexos, são obrigações do fornecedor signatário: </w:t>
      </w:r>
    </w:p>
    <w:p w14:paraId="69944E2E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 xml:space="preserve">6.1.1 - Assinar a presente Ata de Registro de Preços quando for convocado para tal. </w:t>
      </w:r>
    </w:p>
    <w:p w14:paraId="79882076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 xml:space="preserve">6.1.2 - Dar cumprimento integral ao estabelecido no Termo de Referência do pregão eletrônico supracitado e à sua proposta. </w:t>
      </w:r>
    </w:p>
    <w:p w14:paraId="76524254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 xml:space="preserve">6.1.3 – Fornecer os equipamentos e materiais registrados nas condições, prazos e quantidades especificadas na solicitação da </w:t>
      </w:r>
      <w:r>
        <w:rPr>
          <w:rFonts w:asciiTheme="minorHAnsi" w:hAnsiTheme="minorHAnsi" w:cstheme="minorHAnsi"/>
          <w:sz w:val="24"/>
          <w:szCs w:val="24"/>
        </w:rPr>
        <w:t>COSANPA</w:t>
      </w:r>
      <w:r w:rsidRPr="00633297">
        <w:rPr>
          <w:rFonts w:asciiTheme="minorHAnsi" w:hAnsiTheme="minorHAnsi" w:cstheme="minorHAnsi"/>
          <w:sz w:val="24"/>
          <w:szCs w:val="24"/>
        </w:rPr>
        <w:t xml:space="preserve">, assim como assinar o respectivo contrato ou receber a nota de empenho. </w:t>
      </w:r>
    </w:p>
    <w:p w14:paraId="4CC78D45" w14:textId="77777777" w:rsidR="00EC0B57" w:rsidRDefault="00EC0B57" w:rsidP="00EC0B57">
      <w:pPr>
        <w:pStyle w:val="PargrafodaLista"/>
        <w:spacing w:before="120"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>6.1.4 - Manter as todas condições de habilitação e qualificações exigidas no edital supracitado. 6.1.5 - Apresentar toda a documentação de habilitação, devidamente atualizada, sempre que for assinado um novo de fornecimento.</w:t>
      </w:r>
    </w:p>
    <w:p w14:paraId="3500DE3E" w14:textId="77777777" w:rsidR="00EC0B57" w:rsidRPr="004D02F4" w:rsidRDefault="00EC0B57" w:rsidP="00EC0B57">
      <w:pPr>
        <w:pStyle w:val="PargrafodaLista"/>
        <w:spacing w:before="12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4D02F4">
        <w:rPr>
          <w:rFonts w:asciiTheme="minorHAnsi" w:hAnsiTheme="minorHAnsi" w:cstheme="minorHAnsi"/>
          <w:b/>
          <w:bCs/>
          <w:sz w:val="24"/>
          <w:szCs w:val="24"/>
        </w:rPr>
        <w:t xml:space="preserve">7 – OBRIGAÇÕES DA </w:t>
      </w:r>
      <w:r>
        <w:rPr>
          <w:rFonts w:asciiTheme="minorHAnsi" w:hAnsiTheme="minorHAnsi" w:cstheme="minorHAnsi"/>
          <w:b/>
          <w:bCs/>
          <w:sz w:val="24"/>
          <w:szCs w:val="24"/>
        </w:rPr>
        <w:t>COSANPA</w:t>
      </w:r>
      <w:r w:rsidRPr="004D02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D5ACFC1" w14:textId="77777777" w:rsidR="00EC0B57" w:rsidRDefault="00EC0B57" w:rsidP="00EC0B57">
      <w:pPr>
        <w:pStyle w:val="PargrafodaLista"/>
        <w:spacing w:before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 xml:space="preserve">7.1 - São obrigações da </w:t>
      </w:r>
      <w:r>
        <w:rPr>
          <w:rFonts w:asciiTheme="minorHAnsi" w:hAnsiTheme="minorHAnsi" w:cstheme="minorHAnsi"/>
          <w:sz w:val="24"/>
          <w:szCs w:val="24"/>
        </w:rPr>
        <w:t>COSANPA</w:t>
      </w:r>
      <w:r w:rsidRPr="0063329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FE11A26" w14:textId="77777777" w:rsidR="00EC0B57" w:rsidRDefault="00EC0B57" w:rsidP="00EC0B57">
      <w:pPr>
        <w:pStyle w:val="PargrafodaLista"/>
        <w:spacing w:before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 xml:space="preserve">7.1.1 - Gerenciar a presente ARP, indicando, sempre que solicitado, o fornecedor signatário, os preços e os quantitativos registrados, e as especificações dos serviços, observada a ordem de classificação indicada na licitação. </w:t>
      </w:r>
    </w:p>
    <w:p w14:paraId="19B4E12C" w14:textId="77777777" w:rsidR="00EC0B57" w:rsidRDefault="00EC0B57" w:rsidP="00EC0B57">
      <w:pPr>
        <w:pStyle w:val="PargrafodaLista"/>
        <w:spacing w:before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lastRenderedPageBreak/>
        <w:t xml:space="preserve">7.1.2 - Encaminhar a solicitação de fornecimento para o fornecedor signatário e providenciar a elaboração e assinatura do contrato ou, se for o caso, emitir a nota de empenho. </w:t>
      </w:r>
    </w:p>
    <w:p w14:paraId="4B2F25C2" w14:textId="77777777" w:rsidR="00EC0B57" w:rsidRDefault="00EC0B57" w:rsidP="00EC0B57">
      <w:pPr>
        <w:pStyle w:val="PargrafodaLista"/>
        <w:spacing w:before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 xml:space="preserve">7.1.3 - Convocar o fornecedor signatário para a assinatura do contrato ou a retirada da nota de empenho, conforme o caso. </w:t>
      </w:r>
    </w:p>
    <w:p w14:paraId="6AC855F8" w14:textId="77777777" w:rsidR="00EC0B57" w:rsidRDefault="00EC0B57" w:rsidP="00EC0B57">
      <w:pPr>
        <w:pStyle w:val="PargrafodaLista"/>
        <w:spacing w:before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 xml:space="preserve">7.1.4 - Observar para que, durante a vigência da presente ARP, sejam mantidas todas as condições de habilitação e qualificação exigidas dos fornecedores signatários, assim como a compatibilidade com as obrigações assumidas, inclusive com solicitação de novas certidões ou documentos vencidos. </w:t>
      </w:r>
    </w:p>
    <w:p w14:paraId="22970AC6" w14:textId="77777777" w:rsidR="00EC0B57" w:rsidRDefault="00EC0B57" w:rsidP="00EC0B57">
      <w:pPr>
        <w:pStyle w:val="PargrafodaLista"/>
        <w:spacing w:before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 xml:space="preserve">7.1.5 - Conduzir eventuais procedimentos administrativos de renegociação dos preços registrados, para fins de adequação às novas condições de mercado. </w:t>
      </w:r>
    </w:p>
    <w:p w14:paraId="17851530" w14:textId="77777777" w:rsidR="00EC0B57" w:rsidRDefault="00EC0B57" w:rsidP="00EC0B57">
      <w:pPr>
        <w:pStyle w:val="PargrafodaLista"/>
        <w:spacing w:before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 xml:space="preserve">7.1.6 - Aplicar penalidades quando for necessário. </w:t>
      </w:r>
    </w:p>
    <w:p w14:paraId="678AA24F" w14:textId="77777777" w:rsidR="00EC0B57" w:rsidRDefault="00EC0B57" w:rsidP="00EC0B57">
      <w:pPr>
        <w:pStyle w:val="PargrafodaLista"/>
        <w:spacing w:before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 xml:space="preserve">7.1.7 - Realizar prévia consulta ao fornecedor signatário (observada a ordem de classificação) no caso de interesse de outros órgãos em aderir </w:t>
      </w:r>
      <w:proofErr w:type="spellStart"/>
      <w:r w:rsidRPr="00633297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633297">
        <w:rPr>
          <w:rFonts w:asciiTheme="minorHAnsi" w:hAnsiTheme="minorHAnsi" w:cstheme="minorHAnsi"/>
          <w:sz w:val="24"/>
          <w:szCs w:val="24"/>
        </w:rPr>
        <w:t xml:space="preserve"> presente ARP. </w:t>
      </w:r>
    </w:p>
    <w:p w14:paraId="4C81A2AA" w14:textId="77777777" w:rsidR="00EC0B57" w:rsidRDefault="00EC0B57" w:rsidP="00EC0B57">
      <w:pPr>
        <w:pStyle w:val="PargrafodaLista"/>
        <w:spacing w:before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 xml:space="preserve">7.1.8 - Acompanhar e fiscalizar o cumprimento das condições ajustadas no edital da licitação, referente à presente ARP. </w:t>
      </w:r>
    </w:p>
    <w:p w14:paraId="244A382A" w14:textId="77777777" w:rsidR="00EC0B57" w:rsidRDefault="00EC0B57" w:rsidP="00EC0B57">
      <w:pPr>
        <w:pStyle w:val="PargrafodaLista"/>
        <w:spacing w:before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33297">
        <w:rPr>
          <w:rFonts w:asciiTheme="minorHAnsi" w:hAnsiTheme="minorHAnsi" w:cstheme="minorHAnsi"/>
          <w:sz w:val="24"/>
          <w:szCs w:val="24"/>
        </w:rPr>
        <w:t xml:space="preserve">7.1.9 - Publicar na imprensa oficial, em forma de extrato, a presente ARP, onde deverá conter a descrição dos serviços, os preços e os prestadores de serviço registrados. </w:t>
      </w:r>
    </w:p>
    <w:p w14:paraId="56ABA196" w14:textId="77777777" w:rsidR="00EC0B57" w:rsidRPr="004D02F4" w:rsidRDefault="00EC0B57" w:rsidP="00EC0B57">
      <w:pPr>
        <w:pStyle w:val="PargrafodaLista"/>
        <w:spacing w:before="12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4D02F4">
        <w:rPr>
          <w:rFonts w:asciiTheme="minorHAnsi" w:hAnsiTheme="minorHAnsi" w:cstheme="minorHAnsi"/>
          <w:b/>
          <w:bCs/>
          <w:sz w:val="24"/>
          <w:szCs w:val="24"/>
        </w:rPr>
        <w:t xml:space="preserve">8 – DA CONTRATAÇÃO </w:t>
      </w:r>
    </w:p>
    <w:p w14:paraId="1162D42F" w14:textId="77777777" w:rsidR="00EC0B57" w:rsidRPr="004D02F4" w:rsidRDefault="00EC0B57" w:rsidP="00EC0B57">
      <w:pPr>
        <w:pStyle w:val="PargrafodaLista"/>
        <w:spacing w:before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02F4">
        <w:rPr>
          <w:rFonts w:asciiTheme="minorHAnsi" w:hAnsiTheme="minorHAnsi" w:cstheme="minorHAnsi"/>
          <w:sz w:val="24"/>
          <w:szCs w:val="24"/>
        </w:rPr>
        <w:t xml:space="preserve">8.1 – Os equipamentos registrados serão fornecidos após solicitação formal da </w:t>
      </w:r>
      <w:r>
        <w:rPr>
          <w:rFonts w:asciiTheme="minorHAnsi" w:hAnsiTheme="minorHAnsi" w:cstheme="minorHAnsi"/>
          <w:sz w:val="24"/>
          <w:szCs w:val="24"/>
        </w:rPr>
        <w:t>COSANPA</w:t>
      </w:r>
      <w:r w:rsidRPr="004D02F4">
        <w:rPr>
          <w:rFonts w:asciiTheme="minorHAnsi" w:hAnsiTheme="minorHAnsi" w:cstheme="minorHAnsi"/>
          <w:sz w:val="24"/>
          <w:szCs w:val="24"/>
        </w:rPr>
        <w:t xml:space="preserve"> ao fornecedor signatário desta ARP, de acordo com a sua necessidade. </w:t>
      </w:r>
    </w:p>
    <w:p w14:paraId="1772B6A4" w14:textId="77777777" w:rsidR="00EC0B57" w:rsidRPr="004D02F4" w:rsidRDefault="00EC0B57" w:rsidP="00EC0B57">
      <w:pPr>
        <w:pStyle w:val="PargrafodaLista"/>
        <w:spacing w:before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02F4">
        <w:rPr>
          <w:rFonts w:asciiTheme="minorHAnsi" w:hAnsiTheme="minorHAnsi" w:cstheme="minorHAnsi"/>
          <w:sz w:val="24"/>
          <w:szCs w:val="24"/>
        </w:rPr>
        <w:t xml:space="preserve">8.2 - Cada solicitação de fornecimento será objeto de um contrato ou nota de empenho específicos. </w:t>
      </w:r>
    </w:p>
    <w:p w14:paraId="26D56176" w14:textId="77777777" w:rsidR="00EC0B57" w:rsidRPr="004D02F4" w:rsidRDefault="00EC0B57" w:rsidP="00EC0B57">
      <w:pPr>
        <w:pStyle w:val="PargrafodaLista"/>
        <w:spacing w:before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02F4">
        <w:rPr>
          <w:rFonts w:asciiTheme="minorHAnsi" w:hAnsiTheme="minorHAnsi" w:cstheme="minorHAnsi"/>
          <w:sz w:val="24"/>
          <w:szCs w:val="24"/>
        </w:rPr>
        <w:t xml:space="preserve">8.3 - Poderão ser feitas tantas solicitações de fornecimento quantas sejam necessárias, desde que a Ata esteja dentro da validade e que a quantidade total solicitada não seja superior à quantidade total registrada na ARP. </w:t>
      </w:r>
    </w:p>
    <w:p w14:paraId="6308A1F7" w14:textId="4987CC5F" w:rsidR="00EC0B57" w:rsidRDefault="00EC0B57" w:rsidP="00EC0B57">
      <w:pPr>
        <w:pStyle w:val="PargrafodaLista"/>
        <w:spacing w:before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02F4">
        <w:rPr>
          <w:rFonts w:asciiTheme="minorHAnsi" w:hAnsiTheme="minorHAnsi" w:cstheme="minorHAnsi"/>
          <w:sz w:val="24"/>
          <w:szCs w:val="24"/>
        </w:rPr>
        <w:t xml:space="preserve">8.4 - O registro de preços definido nesta ata não obriga a </w:t>
      </w:r>
      <w:r>
        <w:rPr>
          <w:rFonts w:asciiTheme="minorHAnsi" w:hAnsiTheme="minorHAnsi" w:cstheme="minorHAnsi"/>
          <w:sz w:val="24"/>
          <w:szCs w:val="24"/>
        </w:rPr>
        <w:t>COSANPA</w:t>
      </w:r>
      <w:r w:rsidRPr="004D02F4">
        <w:rPr>
          <w:rFonts w:asciiTheme="minorHAnsi" w:hAnsiTheme="minorHAnsi" w:cstheme="minorHAnsi"/>
          <w:sz w:val="24"/>
          <w:szCs w:val="24"/>
        </w:rPr>
        <w:t xml:space="preserve"> a firmar a contratação, quer seja parcial ou total, que dela poderá advir, sendo facultada a realização de licitação específica para atendimento do objeto da presente licitação, assegurada ao signatário desta ARP a preferência no fornecimento dos equipamentos em igualdade de condições. </w:t>
      </w:r>
    </w:p>
    <w:p w14:paraId="79B83CB0" w14:textId="2BFD2686" w:rsidR="00377E74" w:rsidRDefault="00377E74" w:rsidP="00EC0B57">
      <w:pPr>
        <w:pStyle w:val="PargrafodaLista"/>
        <w:spacing w:before="12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29BB9C73" w14:textId="77777777" w:rsidR="00377E74" w:rsidRDefault="00377E74" w:rsidP="00EC0B57">
      <w:pPr>
        <w:pStyle w:val="PargrafodaLista"/>
        <w:spacing w:before="12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23861B25" w14:textId="77777777" w:rsidR="00EC0B57" w:rsidRPr="004D02F4" w:rsidRDefault="00EC0B57" w:rsidP="00EC0B57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4D02F4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9 – PENALIDADES </w:t>
      </w:r>
    </w:p>
    <w:p w14:paraId="6ACC0F6A" w14:textId="77777777" w:rsidR="00EC0B57" w:rsidRPr="004D02F4" w:rsidRDefault="00EC0B57" w:rsidP="00EC0B57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02F4">
        <w:rPr>
          <w:rFonts w:asciiTheme="minorHAnsi" w:hAnsiTheme="minorHAnsi" w:cstheme="minorHAnsi"/>
          <w:sz w:val="24"/>
          <w:szCs w:val="24"/>
        </w:rPr>
        <w:t xml:space="preserve">9.1 Pela inexecução parcial ou total do objeto do presente pregão, em que a </w:t>
      </w:r>
      <w:r>
        <w:rPr>
          <w:rFonts w:asciiTheme="minorHAnsi" w:hAnsiTheme="minorHAnsi" w:cstheme="minorHAnsi"/>
          <w:sz w:val="24"/>
          <w:szCs w:val="24"/>
        </w:rPr>
        <w:t>COSANPA</w:t>
      </w:r>
      <w:r w:rsidRPr="004D02F4">
        <w:rPr>
          <w:rFonts w:asciiTheme="minorHAnsi" w:hAnsiTheme="minorHAnsi" w:cstheme="minorHAnsi"/>
          <w:sz w:val="24"/>
          <w:szCs w:val="24"/>
        </w:rPr>
        <w:t xml:space="preserve"> não der causa, a CONTRATADA, ficará sujeita às seguintes penalidades. </w:t>
      </w:r>
    </w:p>
    <w:p w14:paraId="31783F75" w14:textId="77777777" w:rsidR="00EC0B57" w:rsidRPr="004D02F4" w:rsidRDefault="00EC0B57" w:rsidP="00EC0B57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02F4">
        <w:rPr>
          <w:rFonts w:asciiTheme="minorHAnsi" w:hAnsiTheme="minorHAnsi" w:cstheme="minorHAnsi"/>
          <w:sz w:val="24"/>
          <w:szCs w:val="24"/>
        </w:rPr>
        <w:t xml:space="preserve">a) Advertência, aplicada por meio de notificação por escrito, estabelecendo-se prazo razoável para o adimplemento da obrigação pendente. </w:t>
      </w:r>
    </w:p>
    <w:p w14:paraId="6D273F59" w14:textId="77777777" w:rsidR="00EC0B57" w:rsidRPr="004D02F4" w:rsidRDefault="00EC0B57" w:rsidP="00EC0B57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02F4">
        <w:rPr>
          <w:rFonts w:asciiTheme="minorHAnsi" w:hAnsiTheme="minorHAnsi" w:cstheme="minorHAnsi"/>
          <w:sz w:val="24"/>
          <w:szCs w:val="24"/>
        </w:rPr>
        <w:t xml:space="preserve">b) Em caso de não cumprimento das condições estabelecidas no Termo de Referência, serão aplicadas as seguintes penalidades: </w:t>
      </w:r>
    </w:p>
    <w:p w14:paraId="15B61CFD" w14:textId="77777777" w:rsidR="00EC0B57" w:rsidRPr="004D02F4" w:rsidRDefault="00EC0B57" w:rsidP="00EC0B57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02F4">
        <w:rPr>
          <w:rFonts w:asciiTheme="minorHAnsi" w:hAnsiTheme="minorHAnsi" w:cstheme="minorHAnsi"/>
          <w:sz w:val="24"/>
          <w:szCs w:val="24"/>
        </w:rPr>
        <w:t xml:space="preserve">c) A CONTRATADA deverá </w:t>
      </w:r>
      <w:r>
        <w:rPr>
          <w:rFonts w:asciiTheme="minorHAnsi" w:hAnsiTheme="minorHAnsi" w:cstheme="minorHAnsi"/>
          <w:sz w:val="24"/>
          <w:szCs w:val="24"/>
        </w:rPr>
        <w:t>fornecer o material</w:t>
      </w:r>
      <w:r w:rsidRPr="004D02F4">
        <w:rPr>
          <w:rFonts w:asciiTheme="minorHAnsi" w:hAnsiTheme="minorHAnsi" w:cstheme="minorHAnsi"/>
          <w:sz w:val="24"/>
          <w:szCs w:val="24"/>
        </w:rPr>
        <w:t xml:space="preserve"> no prazo estabelecido no Termo de Referência. Caso a CONTRATADA não consiga cumprir o prazo determinado pela CONTRATANTE, incidirão multas compensatórias após decorrido o tempo definido. Ficando a critério da CONTRATANTE o desconto sobre a fatura mensal. </w:t>
      </w:r>
    </w:p>
    <w:p w14:paraId="0682DFDE" w14:textId="77777777" w:rsidR="00EC0B57" w:rsidRDefault="00EC0B57" w:rsidP="00EC0B57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02F4">
        <w:rPr>
          <w:rFonts w:asciiTheme="minorHAnsi" w:hAnsiTheme="minorHAnsi" w:cstheme="minorHAnsi"/>
          <w:sz w:val="24"/>
          <w:szCs w:val="24"/>
        </w:rPr>
        <w:t xml:space="preserve">d) A contratada deve recuperar os problemas nos prazos determinados no Termo de Referência. Caso o prazo determinado não seja cumprido, incidirão multas compensatórias, sobre a fatura mensal. </w:t>
      </w:r>
    </w:p>
    <w:p w14:paraId="65D305D6" w14:textId="77777777" w:rsidR="00EC0B57" w:rsidRDefault="00EC0B57" w:rsidP="00EC0B57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B29C6">
        <w:rPr>
          <w:rFonts w:asciiTheme="minorHAnsi" w:hAnsiTheme="minorHAnsi" w:cstheme="minorHAnsi"/>
          <w:b/>
          <w:bCs/>
          <w:sz w:val="24"/>
          <w:szCs w:val="24"/>
        </w:rPr>
        <w:t>e)</w:t>
      </w:r>
      <w:r w:rsidRPr="004D02F4">
        <w:rPr>
          <w:rFonts w:asciiTheme="minorHAnsi" w:hAnsiTheme="minorHAnsi" w:cstheme="minorHAnsi"/>
          <w:b/>
          <w:bCs/>
          <w:sz w:val="24"/>
          <w:szCs w:val="24"/>
        </w:rPr>
        <w:t>Suspensão</w:t>
      </w:r>
      <w:r w:rsidRPr="004D02F4">
        <w:rPr>
          <w:rFonts w:asciiTheme="minorHAnsi" w:hAnsiTheme="minorHAnsi" w:cstheme="minorHAnsi"/>
          <w:sz w:val="24"/>
          <w:szCs w:val="24"/>
        </w:rPr>
        <w:t xml:space="preserve"> O licitante que, convocado dentro do prazo de validade de sua proposta, não assinar o contrato, deixar de entregar a documentação exigida no edital, apresentar documentação falsa, ensejar o retardamento da execução de seu objeto, não mantiver a proposta, falhar ou fraudar na execução do contrato, comportar-se de modo inidôneo, apresentar declaração falsa ou cometer fraude fiscal, ficará impedido de licitar e de contratar com o Estado e será descredenciado no SICAF pelo prazo de até 5 (cinco) anos. </w:t>
      </w:r>
    </w:p>
    <w:p w14:paraId="6B93D9CD" w14:textId="77777777" w:rsidR="00EC0B57" w:rsidRDefault="00EC0B57" w:rsidP="00EC0B57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B29C6">
        <w:rPr>
          <w:rFonts w:asciiTheme="minorHAnsi" w:hAnsiTheme="minorHAnsi" w:cstheme="minorHAnsi"/>
          <w:b/>
          <w:bCs/>
          <w:sz w:val="24"/>
          <w:szCs w:val="24"/>
        </w:rPr>
        <w:t>f)</w:t>
      </w:r>
      <w:r w:rsidRPr="004D02F4">
        <w:rPr>
          <w:rFonts w:asciiTheme="minorHAnsi" w:hAnsiTheme="minorHAnsi" w:cstheme="minorHAnsi"/>
          <w:sz w:val="24"/>
          <w:szCs w:val="24"/>
        </w:rPr>
        <w:t xml:space="preserve"> </w:t>
      </w:r>
      <w:r w:rsidRPr="004D02F4">
        <w:rPr>
          <w:rFonts w:asciiTheme="minorHAnsi" w:hAnsiTheme="minorHAnsi" w:cstheme="minorHAnsi"/>
          <w:b/>
          <w:bCs/>
          <w:sz w:val="24"/>
          <w:szCs w:val="24"/>
        </w:rPr>
        <w:t>Declaração de Inidoneidade</w:t>
      </w:r>
      <w:r w:rsidRPr="004D02F4">
        <w:rPr>
          <w:rFonts w:asciiTheme="minorHAnsi" w:hAnsiTheme="minorHAnsi" w:cstheme="minorHAnsi"/>
          <w:sz w:val="24"/>
          <w:szCs w:val="24"/>
        </w:rPr>
        <w:t xml:space="preserve"> para licitar e contratar com a </w:t>
      </w:r>
      <w:r>
        <w:rPr>
          <w:rFonts w:asciiTheme="minorHAnsi" w:hAnsiTheme="minorHAnsi" w:cstheme="minorHAnsi"/>
          <w:sz w:val="24"/>
          <w:szCs w:val="24"/>
        </w:rPr>
        <w:t>COSANPA</w:t>
      </w:r>
      <w:r w:rsidRPr="004D02F4">
        <w:rPr>
          <w:rFonts w:asciiTheme="minorHAnsi" w:hAnsiTheme="minorHAnsi" w:cstheme="minorHAnsi"/>
          <w:sz w:val="24"/>
          <w:szCs w:val="24"/>
        </w:rPr>
        <w:t xml:space="preserve"> enquanto perdurarem os motivos determinantes da punição ou até que seja promovida a reabilitação da CONTRATADA perante a própria autoridade que aplicou a penalidade. A reabilitação será concedida sempre que a CONTRATADA ressarcir a Administração pelos prejuízos resultantes da respectiva inexecução do contrato e decorrido o prazo de sanção aplicada com base na alínea c acima.</w:t>
      </w:r>
    </w:p>
    <w:p w14:paraId="22177F5E" w14:textId="77777777" w:rsidR="00EC0B57" w:rsidRPr="00FC0547" w:rsidRDefault="00EC0B57" w:rsidP="00EC0B57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C0547">
        <w:rPr>
          <w:rFonts w:asciiTheme="minorHAnsi" w:hAnsiTheme="minorHAnsi" w:cstheme="minorHAnsi"/>
          <w:sz w:val="24"/>
          <w:szCs w:val="24"/>
        </w:rPr>
        <w:t xml:space="preserve">9.2- As sanções de que tratam as alíneas </w:t>
      </w:r>
      <w:r>
        <w:rPr>
          <w:rFonts w:asciiTheme="minorHAnsi" w:hAnsiTheme="minorHAnsi" w:cstheme="minorHAnsi"/>
          <w:sz w:val="24"/>
          <w:szCs w:val="24"/>
        </w:rPr>
        <w:t>acima</w:t>
      </w:r>
      <w:r w:rsidRPr="00FC0547">
        <w:rPr>
          <w:rFonts w:asciiTheme="minorHAnsi" w:hAnsiTheme="minorHAnsi" w:cstheme="minorHAnsi"/>
          <w:sz w:val="24"/>
          <w:szCs w:val="24"/>
        </w:rPr>
        <w:t xml:space="preserve"> do item 9.1, serão aplicadas pela </w:t>
      </w:r>
      <w:r>
        <w:rPr>
          <w:rFonts w:asciiTheme="minorHAnsi" w:hAnsiTheme="minorHAnsi" w:cstheme="minorHAnsi"/>
          <w:sz w:val="24"/>
          <w:szCs w:val="24"/>
        </w:rPr>
        <w:t>COSANPA</w:t>
      </w:r>
      <w:r w:rsidRPr="00FC0547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Pr="00FC0547">
        <w:rPr>
          <w:rFonts w:asciiTheme="minorHAnsi" w:hAnsiTheme="minorHAnsi" w:cstheme="minorHAnsi"/>
          <w:sz w:val="24"/>
          <w:szCs w:val="24"/>
        </w:rPr>
        <w:t>enquanto que</w:t>
      </w:r>
      <w:proofErr w:type="gramEnd"/>
      <w:r w:rsidRPr="00FC0547">
        <w:rPr>
          <w:rFonts w:asciiTheme="minorHAnsi" w:hAnsiTheme="minorHAnsi" w:cstheme="minorHAnsi"/>
          <w:sz w:val="24"/>
          <w:szCs w:val="24"/>
        </w:rPr>
        <w:t xml:space="preserve"> Declaração de Inidoneidade deverá ser aplicada por Secretário de Estado, mediante parecer fundamentado.</w:t>
      </w:r>
    </w:p>
    <w:p w14:paraId="7A7DF038" w14:textId="77777777" w:rsidR="00EC0B57" w:rsidRPr="00FC0547" w:rsidRDefault="00EC0B57" w:rsidP="00EC0B57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C0547">
        <w:rPr>
          <w:rFonts w:asciiTheme="minorHAnsi" w:hAnsiTheme="minorHAnsi" w:cstheme="minorHAnsi"/>
          <w:sz w:val="24"/>
          <w:szCs w:val="24"/>
        </w:rPr>
        <w:t>9.3- No caso de inadimplemento que resultar em aplicação de multa, o pagamento devido só poderá ser liberado após a apresentação da guia de recolhimento da multa em questão ou mediante o desconto do valor da mesma sobre o total da fatura ou da nota fiscal.</w:t>
      </w:r>
    </w:p>
    <w:p w14:paraId="4C758197" w14:textId="77777777" w:rsidR="00EC0B57" w:rsidRDefault="00EC0B57" w:rsidP="00EC0B57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C0547">
        <w:rPr>
          <w:rFonts w:asciiTheme="minorHAnsi" w:hAnsiTheme="minorHAnsi" w:cstheme="minorHAnsi"/>
          <w:sz w:val="24"/>
          <w:szCs w:val="24"/>
        </w:rPr>
        <w:lastRenderedPageBreak/>
        <w:t xml:space="preserve">9.4– Em qualquer hipótese de aplicação de sanções, fica assegurado à CONTRATADA o direito ao contraditório e a ampla defesa. </w:t>
      </w:r>
    </w:p>
    <w:p w14:paraId="52F95166" w14:textId="77777777" w:rsidR="00EC0B57" w:rsidRPr="00FC0547" w:rsidRDefault="00EC0B57" w:rsidP="00EC0B57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C0547">
        <w:rPr>
          <w:rFonts w:asciiTheme="minorHAnsi" w:hAnsiTheme="minorHAnsi" w:cstheme="minorHAnsi"/>
          <w:sz w:val="24"/>
          <w:szCs w:val="24"/>
        </w:rPr>
        <w:t>9.5- Não será aplicada multa se, justificada e comprovadamente, o inadimplemento de qualquer cláusula contratual advir de caso fortuito, motivo de força maior ou fato do príncipe.</w:t>
      </w:r>
    </w:p>
    <w:p w14:paraId="41B4A433" w14:textId="77777777" w:rsidR="00EC0B57" w:rsidRPr="009724B2" w:rsidRDefault="00EC0B57" w:rsidP="00EC0B57">
      <w:pPr>
        <w:pStyle w:val="PargrafodaLista"/>
        <w:spacing w:line="360" w:lineRule="auto"/>
        <w:ind w:left="0"/>
        <w:rPr>
          <w:rFonts w:ascii="Calibri" w:hAnsi="Calibri" w:cs="Calibri"/>
          <w:b/>
          <w:bCs/>
          <w:sz w:val="24"/>
          <w:szCs w:val="24"/>
        </w:rPr>
      </w:pPr>
      <w:r w:rsidRPr="009724B2"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>0</w:t>
      </w:r>
      <w:r w:rsidRPr="009724B2">
        <w:rPr>
          <w:rFonts w:ascii="Calibri" w:hAnsi="Calibri" w:cs="Calibri"/>
          <w:b/>
          <w:bCs/>
          <w:sz w:val="24"/>
          <w:szCs w:val="24"/>
        </w:rPr>
        <w:t xml:space="preserve"> - DO FORO    </w:t>
      </w:r>
    </w:p>
    <w:p w14:paraId="4A0C12D1" w14:textId="77777777" w:rsidR="00EC0B57" w:rsidRPr="009724B2" w:rsidRDefault="00EC0B57" w:rsidP="00EC0B57">
      <w:pPr>
        <w:pStyle w:val="PargrafodaLista"/>
        <w:spacing w:line="360" w:lineRule="auto"/>
        <w:ind w:left="0"/>
        <w:rPr>
          <w:rFonts w:ascii="Calibri" w:hAnsi="Calibri" w:cs="Calibri"/>
          <w:sz w:val="24"/>
          <w:szCs w:val="24"/>
        </w:rPr>
      </w:pPr>
      <w:r w:rsidRPr="009724B2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0</w:t>
      </w:r>
      <w:r w:rsidRPr="009724B2">
        <w:rPr>
          <w:rFonts w:ascii="Calibri" w:hAnsi="Calibri" w:cs="Calibri"/>
          <w:sz w:val="24"/>
          <w:szCs w:val="24"/>
        </w:rPr>
        <w:t xml:space="preserve">.1 - Fica eleito o Foro da Cidade de Belém-PA para dirimir quaisquer dúvidas que vierem a surgir no cumprimento das obrigações aqui estabelecidas.  </w:t>
      </w:r>
    </w:p>
    <w:p w14:paraId="4C3AB10B" w14:textId="77777777" w:rsidR="00EC0B57" w:rsidRDefault="00EC0B57" w:rsidP="00EC0B57">
      <w:pPr>
        <w:pStyle w:val="PargrafodaLista"/>
        <w:spacing w:line="360" w:lineRule="auto"/>
        <w:ind w:left="0"/>
        <w:rPr>
          <w:rFonts w:ascii="Calibri" w:hAnsi="Calibri" w:cs="Calibri"/>
          <w:sz w:val="24"/>
          <w:szCs w:val="24"/>
        </w:rPr>
      </w:pPr>
      <w:r w:rsidRPr="009724B2">
        <w:rPr>
          <w:rFonts w:ascii="Calibri" w:hAnsi="Calibri" w:cs="Calibri"/>
          <w:sz w:val="24"/>
          <w:szCs w:val="24"/>
        </w:rPr>
        <w:t xml:space="preserve"> E, por estarem justas e acordadas, as partes assinam a presente ata e 02 vias de igual teor e forma, na presença de duas testemunhas.    </w:t>
      </w:r>
    </w:p>
    <w:p w14:paraId="02A6DA07" w14:textId="77777777" w:rsidR="00EC0B57" w:rsidRDefault="00EC0B57" w:rsidP="00EC0B57">
      <w:pPr>
        <w:pStyle w:val="PargrafodaLista"/>
        <w:spacing w:line="360" w:lineRule="auto"/>
        <w:ind w:left="0"/>
        <w:jc w:val="right"/>
        <w:rPr>
          <w:rFonts w:ascii="Calibri" w:hAnsi="Calibri" w:cs="Calibri"/>
          <w:sz w:val="24"/>
          <w:szCs w:val="24"/>
        </w:rPr>
      </w:pPr>
      <w:r w:rsidRPr="009724B2">
        <w:rPr>
          <w:rFonts w:ascii="Calibri" w:hAnsi="Calibri" w:cs="Calibri"/>
          <w:sz w:val="24"/>
          <w:szCs w:val="24"/>
        </w:rPr>
        <w:t xml:space="preserve">Belém-PA, _____ de ______________ </w:t>
      </w:r>
      <w:proofErr w:type="spellStart"/>
      <w:r w:rsidRPr="009724B2">
        <w:rPr>
          <w:rFonts w:ascii="Calibri" w:hAnsi="Calibri" w:cs="Calibri"/>
          <w:sz w:val="24"/>
          <w:szCs w:val="24"/>
        </w:rPr>
        <w:t>de</w:t>
      </w:r>
      <w:proofErr w:type="spellEnd"/>
      <w:r w:rsidRPr="009724B2">
        <w:rPr>
          <w:rFonts w:ascii="Calibri" w:hAnsi="Calibri" w:cs="Calibri"/>
          <w:sz w:val="24"/>
          <w:szCs w:val="24"/>
        </w:rPr>
        <w:t xml:space="preserve"> 20</w:t>
      </w:r>
      <w:r>
        <w:rPr>
          <w:rFonts w:ascii="Calibri" w:hAnsi="Calibri" w:cs="Calibri"/>
          <w:sz w:val="24"/>
          <w:szCs w:val="24"/>
        </w:rPr>
        <w:t>20</w:t>
      </w:r>
      <w:r w:rsidRPr="009724B2">
        <w:rPr>
          <w:rFonts w:ascii="Calibri" w:hAnsi="Calibri" w:cs="Calibri"/>
          <w:sz w:val="24"/>
          <w:szCs w:val="24"/>
        </w:rPr>
        <w:t xml:space="preserve">.   </w:t>
      </w:r>
    </w:p>
    <w:p w14:paraId="5606E8A7" w14:textId="049B3978" w:rsidR="00EC0B57" w:rsidRDefault="00EC0B57" w:rsidP="00EC0B57">
      <w:pPr>
        <w:pStyle w:val="PargrafodaLista"/>
        <w:spacing w:line="360" w:lineRule="auto"/>
        <w:ind w:left="0"/>
        <w:rPr>
          <w:rFonts w:ascii="Calibri" w:hAnsi="Calibri" w:cs="Calibri"/>
          <w:b/>
          <w:bCs/>
          <w:sz w:val="24"/>
          <w:szCs w:val="24"/>
        </w:rPr>
      </w:pPr>
      <w:r w:rsidRPr="009724B2">
        <w:rPr>
          <w:rFonts w:ascii="Calibri" w:hAnsi="Calibri" w:cs="Calibri"/>
          <w:b/>
          <w:bCs/>
          <w:sz w:val="24"/>
          <w:szCs w:val="24"/>
        </w:rPr>
        <w:t xml:space="preserve">P/ COSANPA:    </w:t>
      </w:r>
    </w:p>
    <w:p w14:paraId="51F86EA2" w14:textId="77777777" w:rsidR="005A1023" w:rsidRPr="009724B2" w:rsidRDefault="005A1023" w:rsidP="00EC0B57">
      <w:pPr>
        <w:pStyle w:val="PargrafodaLista"/>
        <w:spacing w:line="360" w:lineRule="auto"/>
        <w:ind w:left="0"/>
        <w:rPr>
          <w:rFonts w:ascii="Calibri" w:hAnsi="Calibri" w:cs="Calibri"/>
          <w:b/>
          <w:bCs/>
          <w:sz w:val="24"/>
          <w:szCs w:val="24"/>
        </w:rPr>
      </w:pPr>
    </w:p>
    <w:p w14:paraId="544FA678" w14:textId="208B80E3" w:rsidR="00EC0B57" w:rsidRDefault="00EC0B57" w:rsidP="00820ECD">
      <w:pPr>
        <w:pStyle w:val="PargrafodaLista"/>
        <w:ind w:left="0"/>
        <w:rPr>
          <w:rFonts w:ascii="Calibri" w:hAnsi="Calibri" w:cs="Calibri"/>
          <w:sz w:val="24"/>
          <w:szCs w:val="24"/>
        </w:rPr>
      </w:pPr>
      <w:r w:rsidRPr="009724B2">
        <w:rPr>
          <w:rFonts w:ascii="Calibri" w:hAnsi="Calibri" w:cs="Calibri"/>
          <w:sz w:val="24"/>
          <w:szCs w:val="24"/>
        </w:rPr>
        <w:t xml:space="preserve">_____________________________________ </w:t>
      </w:r>
    </w:p>
    <w:p w14:paraId="23B42F34" w14:textId="08FD0743" w:rsidR="00820ECD" w:rsidRPr="00820ECD" w:rsidRDefault="00820ECD" w:rsidP="00820ECD">
      <w:pPr>
        <w:pStyle w:val="PargrafodaLista"/>
        <w:ind w:left="0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         </w:t>
      </w:r>
      <w:r w:rsidRPr="00820ECD">
        <w:rPr>
          <w:rFonts w:asciiTheme="minorHAnsi" w:eastAsia="Arial" w:hAnsiTheme="minorHAnsi" w:cstheme="minorHAnsi"/>
          <w:b/>
          <w:bCs/>
          <w:sz w:val="24"/>
          <w:szCs w:val="24"/>
        </w:rPr>
        <w:t>Sr.</w:t>
      </w:r>
      <w:r w:rsidRPr="00820EC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ECD">
        <w:rPr>
          <w:rFonts w:asciiTheme="minorHAnsi" w:eastAsia="Arial" w:hAnsiTheme="minorHAnsi" w:cstheme="minorHAnsi"/>
          <w:b/>
          <w:sz w:val="24"/>
          <w:szCs w:val="24"/>
        </w:rPr>
        <w:t>José Antônio De Angelis</w:t>
      </w:r>
    </w:p>
    <w:p w14:paraId="6467BB16" w14:textId="1E826910" w:rsidR="00EC0B57" w:rsidRPr="00820ECD" w:rsidRDefault="00EC0B57" w:rsidP="00EC0B57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20ECD">
        <w:rPr>
          <w:rFonts w:asciiTheme="minorHAnsi" w:hAnsiTheme="minorHAnsi" w:cstheme="minorHAnsi"/>
          <w:sz w:val="24"/>
          <w:szCs w:val="24"/>
        </w:rPr>
        <w:t xml:space="preserve"> </w:t>
      </w:r>
      <w:r w:rsidR="00820ECD" w:rsidRPr="00820ECD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820ECD">
        <w:rPr>
          <w:rFonts w:asciiTheme="minorHAnsi" w:hAnsiTheme="minorHAnsi" w:cstheme="minorHAnsi"/>
          <w:sz w:val="24"/>
          <w:szCs w:val="24"/>
        </w:rPr>
        <w:t xml:space="preserve">CPF: </w:t>
      </w:r>
      <w:r w:rsidR="00820ECD" w:rsidRPr="00820ECD">
        <w:rPr>
          <w:rFonts w:asciiTheme="minorHAnsi" w:hAnsiTheme="minorHAnsi" w:cstheme="minorHAnsi"/>
          <w:sz w:val="24"/>
          <w:szCs w:val="24"/>
        </w:rPr>
        <w:t>004.229.988-85</w:t>
      </w:r>
      <w:r w:rsidRPr="00820EC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A813293" w14:textId="77777777" w:rsidR="00EC0B57" w:rsidRDefault="00EC0B57" w:rsidP="00EC0B57">
      <w:pPr>
        <w:pStyle w:val="PargrafodaLista"/>
        <w:spacing w:line="360" w:lineRule="auto"/>
        <w:ind w:left="0"/>
        <w:rPr>
          <w:rFonts w:ascii="Calibri" w:hAnsi="Calibri" w:cs="Calibri"/>
          <w:sz w:val="24"/>
          <w:szCs w:val="24"/>
        </w:rPr>
      </w:pPr>
    </w:p>
    <w:p w14:paraId="497E2DB5" w14:textId="77777777" w:rsidR="00EC0B57" w:rsidRPr="009724B2" w:rsidRDefault="00EC0B57" w:rsidP="00EC0B57">
      <w:pPr>
        <w:pStyle w:val="PargrafodaLista"/>
        <w:spacing w:line="360" w:lineRule="auto"/>
        <w:ind w:left="0"/>
        <w:rPr>
          <w:rFonts w:ascii="Calibri" w:hAnsi="Calibri" w:cs="Calibri"/>
          <w:b/>
          <w:bCs/>
          <w:sz w:val="24"/>
          <w:szCs w:val="24"/>
        </w:rPr>
      </w:pPr>
      <w:r w:rsidRPr="009724B2">
        <w:rPr>
          <w:rFonts w:ascii="Calibri" w:hAnsi="Calibri" w:cs="Calibri"/>
          <w:b/>
          <w:bCs/>
          <w:sz w:val="24"/>
          <w:szCs w:val="24"/>
        </w:rPr>
        <w:t xml:space="preserve"> P/ FORNECEDORE SIGNATÁRIO:    </w:t>
      </w:r>
    </w:p>
    <w:p w14:paraId="08AC5FC9" w14:textId="77777777" w:rsidR="00EC0B57" w:rsidRPr="009724B2" w:rsidRDefault="00EC0B57" w:rsidP="00EC0B57">
      <w:pPr>
        <w:pStyle w:val="PargrafodaLista"/>
        <w:spacing w:line="360" w:lineRule="auto"/>
        <w:ind w:left="0"/>
        <w:rPr>
          <w:rFonts w:ascii="Calibri" w:hAnsi="Calibri" w:cs="Calibri"/>
          <w:sz w:val="24"/>
          <w:szCs w:val="24"/>
        </w:rPr>
      </w:pPr>
      <w:r w:rsidRPr="009724B2">
        <w:rPr>
          <w:rFonts w:ascii="Calibri" w:hAnsi="Calibri" w:cs="Calibri"/>
          <w:sz w:val="24"/>
          <w:szCs w:val="24"/>
        </w:rPr>
        <w:t xml:space="preserve"> </w:t>
      </w:r>
    </w:p>
    <w:p w14:paraId="05D6C0D2" w14:textId="77777777" w:rsidR="00820ECD" w:rsidRDefault="00820ECD" w:rsidP="00820ECD">
      <w:pPr>
        <w:pStyle w:val="PargrafodaLista"/>
        <w:ind w:left="0"/>
        <w:rPr>
          <w:rFonts w:ascii="Calibri" w:hAnsi="Calibri" w:cs="Calibri"/>
          <w:sz w:val="24"/>
          <w:szCs w:val="24"/>
        </w:rPr>
      </w:pPr>
      <w:r w:rsidRPr="009724B2">
        <w:rPr>
          <w:rFonts w:ascii="Calibri" w:hAnsi="Calibri" w:cs="Calibri"/>
          <w:sz w:val="24"/>
          <w:szCs w:val="24"/>
        </w:rPr>
        <w:t xml:space="preserve">_____________________________________ </w:t>
      </w:r>
    </w:p>
    <w:p w14:paraId="1AAFEE17" w14:textId="3BB35FA3" w:rsidR="00820ECD" w:rsidRDefault="00377E74" w:rsidP="00820ECD">
      <w:pPr>
        <w:pStyle w:val="PargrafodaLista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     </w:t>
      </w:r>
      <w:r w:rsidR="008C55C2" w:rsidRPr="00AF1368">
        <w:rPr>
          <w:rFonts w:asciiTheme="minorHAnsi" w:hAnsiTheme="minorHAnsi" w:cstheme="minorHAnsi"/>
          <w:b/>
          <w:bCs/>
          <w:sz w:val="24"/>
          <w:szCs w:val="24"/>
        </w:rPr>
        <w:t>Carlos Alberto Navarro Júnior</w:t>
      </w:r>
    </w:p>
    <w:p w14:paraId="6B68B406" w14:textId="07F3EE60" w:rsidR="00AF1368" w:rsidRPr="00AF1368" w:rsidRDefault="00AF1368" w:rsidP="00820ECD">
      <w:pPr>
        <w:pStyle w:val="PargrafodaLista"/>
        <w:ind w:left="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AF1368">
        <w:rPr>
          <w:rFonts w:asciiTheme="minorHAnsi" w:hAnsiTheme="minorHAnsi" w:cstheme="minorHAnsi"/>
          <w:sz w:val="24"/>
          <w:szCs w:val="24"/>
        </w:rPr>
        <w:t>CPF</w:t>
      </w:r>
      <w:r>
        <w:rPr>
          <w:rFonts w:asciiTheme="minorHAnsi" w:hAnsiTheme="minorHAnsi" w:cstheme="minorHAnsi"/>
          <w:sz w:val="24"/>
          <w:szCs w:val="24"/>
        </w:rPr>
        <w:t>: 249.530.832-53</w:t>
      </w:r>
    </w:p>
    <w:p w14:paraId="6A4DABDD" w14:textId="53DC0B89" w:rsidR="00820ECD" w:rsidRPr="00820ECD" w:rsidRDefault="00820ECD" w:rsidP="00820ECD">
      <w:pPr>
        <w:pStyle w:val="Pargrafoda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5EC6AF9" w14:textId="7AE98281" w:rsidR="00EC0B57" w:rsidRPr="009724B2" w:rsidRDefault="00E63105" w:rsidP="00EC0B57">
      <w:pPr>
        <w:pStyle w:val="PargrafodaLista"/>
        <w:spacing w:line="360" w:lineRule="auto"/>
        <w:ind w:left="0"/>
        <w:rPr>
          <w:rFonts w:ascii="Calibri" w:hAnsi="Calibri" w:cs="Calibri"/>
          <w:sz w:val="24"/>
          <w:szCs w:val="24"/>
        </w:rPr>
      </w:pPr>
      <w:r w:rsidRPr="009724B2">
        <w:rPr>
          <w:rFonts w:ascii="Calibri" w:hAnsi="Calibri" w:cs="Calibri"/>
          <w:sz w:val="24"/>
          <w:szCs w:val="24"/>
        </w:rPr>
        <w:t xml:space="preserve">TESTEMUNHAS:    </w:t>
      </w:r>
    </w:p>
    <w:p w14:paraId="19D0BC42" w14:textId="717A9B01" w:rsidR="00EC0B57" w:rsidRDefault="00EC0B57" w:rsidP="00EC0B57">
      <w:pPr>
        <w:pStyle w:val="PargrafodaLista"/>
        <w:spacing w:line="360" w:lineRule="auto"/>
        <w:ind w:left="0"/>
        <w:rPr>
          <w:rFonts w:ascii="Calibri" w:hAnsi="Calibri" w:cs="Calibri"/>
          <w:sz w:val="24"/>
          <w:szCs w:val="24"/>
        </w:rPr>
      </w:pPr>
      <w:r w:rsidRPr="009724B2">
        <w:rPr>
          <w:rFonts w:ascii="Calibri" w:hAnsi="Calibri" w:cs="Calibri"/>
          <w:sz w:val="24"/>
          <w:szCs w:val="24"/>
        </w:rPr>
        <w:t xml:space="preserve">NOME:    </w:t>
      </w:r>
      <w:r w:rsidR="00E63105"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  <w:r w:rsidRPr="009724B2">
        <w:rPr>
          <w:rFonts w:ascii="Calibri" w:hAnsi="Calibri" w:cs="Calibri"/>
          <w:sz w:val="24"/>
          <w:szCs w:val="24"/>
        </w:rPr>
        <w:t xml:space="preserve">RG:  </w:t>
      </w:r>
    </w:p>
    <w:p w14:paraId="309D4350" w14:textId="4F504EE6" w:rsidR="00BB2C9B" w:rsidRDefault="00E63105" w:rsidP="00E63105">
      <w:pPr>
        <w:pStyle w:val="PargrafodaLista"/>
        <w:spacing w:line="360" w:lineRule="auto"/>
        <w:ind w:left="0"/>
      </w:pPr>
      <w:r w:rsidRPr="009724B2">
        <w:rPr>
          <w:rFonts w:ascii="Calibri" w:hAnsi="Calibri" w:cs="Calibri"/>
          <w:sz w:val="24"/>
          <w:szCs w:val="24"/>
        </w:rPr>
        <w:t xml:space="preserve">NOME: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  <w:r w:rsidRPr="009724B2">
        <w:rPr>
          <w:rFonts w:ascii="Calibri" w:hAnsi="Calibri" w:cs="Calibri"/>
          <w:sz w:val="24"/>
          <w:szCs w:val="24"/>
        </w:rPr>
        <w:t xml:space="preserve">RG:  </w:t>
      </w:r>
    </w:p>
    <w:sectPr w:rsidR="00BB2C9B" w:rsidSect="00EC0B57">
      <w:headerReference w:type="default" r:id="rId9"/>
      <w:footerReference w:type="default" r:id="rId10"/>
      <w:pgSz w:w="11905" w:h="16837" w:code="9"/>
      <w:pgMar w:top="1701" w:right="851" w:bottom="851" w:left="1701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7D6C7" w14:textId="77777777" w:rsidR="0079300E" w:rsidRDefault="0079300E">
      <w:r>
        <w:separator/>
      </w:r>
    </w:p>
  </w:endnote>
  <w:endnote w:type="continuationSeparator" w:id="0">
    <w:p w14:paraId="253DCFC8" w14:textId="77777777" w:rsidR="0079300E" w:rsidRDefault="0079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D1AAB" w14:textId="77777777" w:rsidR="00723C4D" w:rsidRDefault="0079300E">
    <w:pPr>
      <w:pStyle w:val="Rodap"/>
      <w:jc w:val="right"/>
    </w:pPr>
  </w:p>
  <w:p w14:paraId="6414F10E" w14:textId="77777777" w:rsidR="00723C4D" w:rsidRDefault="00E63105" w:rsidP="00410FBF">
    <w:pPr>
      <w:pStyle w:val="Rodap"/>
      <w:ind w:right="360"/>
      <w:jc w:val="center"/>
      <w:rPr>
        <w:rFonts w:ascii="Arial" w:hAnsi="Arial" w:cs="Arial"/>
        <w:sz w:val="18"/>
        <w:szCs w:val="18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23131E" wp14:editId="07A123F1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989320" cy="7620"/>
              <wp:effectExtent l="19050" t="19050" r="11430" b="1143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10842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71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" strokecolor="#3c6abe [3044]" strokeweight="2.5pt">
              <v:stroke joinstyle="miter" endcap="round"/>
              <o:lock v:ext="edit" shapetype="f"/>
              <w10:wrap anchorx="margin"/>
            </v:line>
          </w:pict>
        </mc:Fallback>
      </mc:AlternateContent>
    </w:r>
  </w:p>
  <w:p w14:paraId="1270853F" w14:textId="77777777" w:rsidR="00723C4D" w:rsidRPr="000238E9" w:rsidRDefault="00E63105" w:rsidP="00410FBF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472C4" w:themeColor="accent1"/>
        <w:sz w:val="18"/>
        <w:szCs w:val="18"/>
      </w:rPr>
    </w:pPr>
    <w:r w:rsidRPr="000238E9">
      <w:rPr>
        <w:rFonts w:ascii="Arial" w:hAnsi="Arial" w:cs="Arial"/>
        <w:b/>
        <w:bCs/>
        <w:color w:val="4472C4" w:themeColor="accent1"/>
        <w:sz w:val="18"/>
        <w:szCs w:val="18"/>
      </w:rPr>
      <w:t>Av. Gov. Magalhães Barata, nº 1201 – São Brás - CEP: 66.060-901</w:t>
    </w:r>
  </w:p>
  <w:p w14:paraId="01B48F97" w14:textId="77777777" w:rsidR="00723C4D" w:rsidRPr="000238E9" w:rsidRDefault="00E63105" w:rsidP="00410FBF">
    <w:pPr>
      <w:pStyle w:val="Rodap"/>
      <w:jc w:val="center"/>
      <w:rPr>
        <w:rFonts w:ascii="Arial" w:hAnsi="Arial" w:cs="Arial"/>
        <w:b/>
        <w:bCs/>
        <w:color w:val="4472C4" w:themeColor="accent1"/>
        <w:sz w:val="18"/>
        <w:szCs w:val="18"/>
      </w:rPr>
    </w:pPr>
    <w:r w:rsidRPr="000238E9">
      <w:rPr>
        <w:rFonts w:ascii="Arial" w:hAnsi="Arial" w:cs="Arial"/>
        <w:b/>
        <w:bCs/>
        <w:color w:val="4472C4" w:themeColor="accent1"/>
        <w:sz w:val="18"/>
        <w:szCs w:val="18"/>
      </w:rPr>
      <w:t>Fone: 3202-8534/8539 Belém-</w:t>
    </w:r>
    <w:proofErr w:type="spellStart"/>
    <w:r w:rsidRPr="000238E9">
      <w:rPr>
        <w:rFonts w:ascii="Arial" w:hAnsi="Arial" w:cs="Arial"/>
        <w:b/>
        <w:bCs/>
        <w:color w:val="4472C4" w:themeColor="accent1"/>
        <w:sz w:val="18"/>
        <w:szCs w:val="18"/>
      </w:rPr>
      <w:t>Pa</w:t>
    </w:r>
    <w:proofErr w:type="spellEnd"/>
  </w:p>
  <w:p w14:paraId="06F55532" w14:textId="77777777" w:rsidR="00723C4D" w:rsidRDefault="0079300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37856" w14:textId="77777777" w:rsidR="0079300E" w:rsidRDefault="0079300E">
      <w:r>
        <w:separator/>
      </w:r>
    </w:p>
  </w:footnote>
  <w:footnote w:type="continuationSeparator" w:id="0">
    <w:p w14:paraId="774CA686" w14:textId="77777777" w:rsidR="0079300E" w:rsidRDefault="0079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B46D" w14:textId="77777777" w:rsidR="00723C4D" w:rsidRPr="00376294" w:rsidRDefault="00E63105" w:rsidP="00624247">
    <w:pPr>
      <w:pStyle w:val="Cabealho"/>
      <w:spacing w:before="0"/>
      <w:ind w:left="851" w:firstLine="283"/>
      <w:rPr>
        <w:rFonts w:ascii="Arial" w:hAnsi="Arial" w:cs="Arial"/>
        <w:b/>
        <w:bCs/>
        <w:color w:val="44546A" w:themeColor="text2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460EC60" wp14:editId="45591A16">
          <wp:simplePos x="0" y="0"/>
          <wp:positionH relativeFrom="column">
            <wp:posOffset>5297805</wp:posOffset>
          </wp:positionH>
          <wp:positionV relativeFrom="paragraph">
            <wp:posOffset>-112395</wp:posOffset>
          </wp:positionV>
          <wp:extent cx="701675" cy="701040"/>
          <wp:effectExtent l="0" t="0" r="3175" b="381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4A90A4" wp14:editId="759BA477">
          <wp:simplePos x="0" y="0"/>
          <wp:positionH relativeFrom="column">
            <wp:posOffset>-97155</wp:posOffset>
          </wp:positionH>
          <wp:positionV relativeFrom="paragraph">
            <wp:posOffset>-112395</wp:posOffset>
          </wp:positionV>
          <wp:extent cx="701040" cy="70104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6294">
      <w:rPr>
        <w:rFonts w:ascii="Arial" w:hAnsi="Arial" w:cs="Arial"/>
        <w:b/>
        <w:bCs/>
        <w:color w:val="44546A" w:themeColor="text2"/>
        <w:sz w:val="28"/>
        <w:szCs w:val="28"/>
      </w:rPr>
      <w:t>COMPANHIA DE SANEAMENTO</w:t>
    </w:r>
  </w:p>
  <w:p w14:paraId="7C5C7E27" w14:textId="77777777" w:rsidR="00723C4D" w:rsidRPr="00376294" w:rsidRDefault="00E63105" w:rsidP="00624247">
    <w:pPr>
      <w:pStyle w:val="Cabealho"/>
      <w:spacing w:before="0"/>
      <w:ind w:left="851" w:firstLine="0"/>
      <w:rPr>
        <w:rFonts w:ascii="Arial" w:hAnsi="Arial" w:cs="Arial"/>
        <w:b/>
        <w:bCs/>
        <w:color w:val="44546A" w:themeColor="text2"/>
        <w:sz w:val="28"/>
        <w:szCs w:val="28"/>
      </w:rPr>
    </w:pPr>
    <w:r w:rsidRPr="00376294">
      <w:rPr>
        <w:rFonts w:ascii="Arial" w:hAnsi="Arial" w:cs="Arial"/>
        <w:b/>
        <w:bCs/>
        <w:color w:val="44546A" w:themeColor="text2"/>
        <w:sz w:val="28"/>
        <w:szCs w:val="28"/>
      </w:rPr>
      <w:t xml:space="preserve">     DO PARÁ</w:t>
    </w:r>
  </w:p>
  <w:p w14:paraId="0360A618" w14:textId="77777777" w:rsidR="00625916" w:rsidRDefault="0079300E" w:rsidP="00915FF7">
    <w:pPr>
      <w:jc w:val="right"/>
      <w:rPr>
        <w:rFonts w:ascii="Courier New" w:hAnsi="Courier New" w:cs="Courier New"/>
      </w:rPr>
    </w:pPr>
  </w:p>
  <w:p w14:paraId="2DD08704" w14:textId="77777777" w:rsidR="00723C4D" w:rsidRDefault="00E63105" w:rsidP="00915FF7">
    <w:pPr>
      <w:jc w:val="right"/>
      <w:rPr>
        <w:rFonts w:ascii="Courier New" w:hAnsi="Courier New" w:cs="Courier New"/>
      </w:rPr>
    </w:pPr>
    <w:r w:rsidRPr="00915FF7">
      <w:rPr>
        <w:rFonts w:ascii="Courier New" w:hAnsi="Courier New" w:cs="Courier New"/>
      </w:rPr>
      <w:t>Número de Protocolo: 2019</w:t>
    </w:r>
    <w:r>
      <w:rPr>
        <w:rFonts w:ascii="Courier New" w:hAnsi="Courier New" w:cs="Courier New"/>
      </w:rPr>
      <w:t>/584196</w:t>
    </w:r>
  </w:p>
  <w:p w14:paraId="33D862F2" w14:textId="77777777" w:rsidR="00723C4D" w:rsidRPr="00915FF7" w:rsidRDefault="00E63105" w:rsidP="00915FF7">
    <w:pPr>
      <w:jc w:val="right"/>
      <w:rPr>
        <w:rFonts w:ascii="Courier New" w:hAnsi="Courier New" w:cs="Courier New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014E9B" wp14:editId="2031875F">
              <wp:simplePos x="0" y="0"/>
              <wp:positionH relativeFrom="margin">
                <wp:align>left</wp:align>
              </wp:positionH>
              <wp:positionV relativeFrom="paragraph">
                <wp:posOffset>48895</wp:posOffset>
              </wp:positionV>
              <wp:extent cx="5989320" cy="7620"/>
              <wp:effectExtent l="19050" t="19050" r="11430" b="1143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96ABCD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85pt" to="471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" strokecolor="#3c6abe [3044]" strokeweight="2.5pt">
              <v:stroke joinstyle="miter" endcap="round"/>
              <o:lock v:ext="edit" shapetype="f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57"/>
    <w:rsid w:val="00035335"/>
    <w:rsid w:val="00056DCC"/>
    <w:rsid w:val="000E7097"/>
    <w:rsid w:val="00297C46"/>
    <w:rsid w:val="002B343E"/>
    <w:rsid w:val="00326C3A"/>
    <w:rsid w:val="00377E74"/>
    <w:rsid w:val="003A5263"/>
    <w:rsid w:val="004D4278"/>
    <w:rsid w:val="0054315E"/>
    <w:rsid w:val="005A1023"/>
    <w:rsid w:val="006240D8"/>
    <w:rsid w:val="0064463C"/>
    <w:rsid w:val="00687AC7"/>
    <w:rsid w:val="006D1A8F"/>
    <w:rsid w:val="00744B0A"/>
    <w:rsid w:val="0079300E"/>
    <w:rsid w:val="007B14B5"/>
    <w:rsid w:val="007C58B5"/>
    <w:rsid w:val="00820ECD"/>
    <w:rsid w:val="008A3362"/>
    <w:rsid w:val="008C55C2"/>
    <w:rsid w:val="00951034"/>
    <w:rsid w:val="00961ED7"/>
    <w:rsid w:val="0097466B"/>
    <w:rsid w:val="00A2027B"/>
    <w:rsid w:val="00A26EE1"/>
    <w:rsid w:val="00AF1368"/>
    <w:rsid w:val="00B140AE"/>
    <w:rsid w:val="00B56016"/>
    <w:rsid w:val="00BA7DCE"/>
    <w:rsid w:val="00BB2C9B"/>
    <w:rsid w:val="00C15CC5"/>
    <w:rsid w:val="00C779EC"/>
    <w:rsid w:val="00C9788F"/>
    <w:rsid w:val="00E63105"/>
    <w:rsid w:val="00EC0B57"/>
    <w:rsid w:val="00F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1228"/>
  <w15:chartTrackingRefBased/>
  <w15:docId w15:val="{C378DF69-65CC-4CE3-9FEF-162141ED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B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C0B57"/>
    <w:pPr>
      <w:tabs>
        <w:tab w:val="center" w:pos="4252"/>
        <w:tab w:val="right" w:pos="8504"/>
      </w:tabs>
      <w:suppressAutoHyphens/>
      <w:spacing w:before="280"/>
      <w:ind w:left="709" w:firstLine="709"/>
    </w:pPr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EC0B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EC0B5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EC0B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C0B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C0B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779EC"/>
    <w:pPr>
      <w:tabs>
        <w:tab w:val="left" w:pos="738"/>
      </w:tabs>
      <w:suppressAutoHyphens/>
      <w:spacing w:line="240" w:lineRule="atLeast"/>
      <w:ind w:right="51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779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B140AE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B140AE"/>
    <w:rPr>
      <w:b/>
      <w:bCs/>
    </w:rPr>
  </w:style>
  <w:style w:type="paragraph" w:styleId="SemEspaamento">
    <w:name w:val="No Spacing"/>
    <w:link w:val="SemEspaamentoChar"/>
    <w:uiPriority w:val="1"/>
    <w:qFormat/>
    <w:rsid w:val="00B140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140AE"/>
    <w:rPr>
      <w:rFonts w:ascii="Calibri" w:eastAsia="Calibri" w:hAnsi="Calibri" w:cs="Times New Roman"/>
    </w:rPr>
  </w:style>
  <w:style w:type="paragraph" w:customStyle="1" w:styleId="Standard">
    <w:name w:val="Standard"/>
    <w:rsid w:val="00B140A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E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E74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A2027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0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navarro@artmi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02@artmil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B31C-AEB9-421E-A501-AC7906F2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2262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Rabelo</dc:creator>
  <cp:keywords/>
  <dc:description/>
  <cp:lastModifiedBy>Andre Rabelo</cp:lastModifiedBy>
  <cp:revision>4</cp:revision>
  <cp:lastPrinted>2020-04-06T15:04:00Z</cp:lastPrinted>
  <dcterms:created xsi:type="dcterms:W3CDTF">2020-04-06T15:13:00Z</dcterms:created>
  <dcterms:modified xsi:type="dcterms:W3CDTF">2020-04-06T16:02:00Z</dcterms:modified>
</cp:coreProperties>
</file>